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50EAF" w14:textId="171BE4EF" w:rsidR="00CE6CC2" w:rsidRDefault="00CE6CC2" w:rsidP="00CE6CC2">
      <w:pPr>
        <w:jc w:val="center"/>
        <w:rPr>
          <w:b/>
          <w:bCs/>
        </w:rPr>
      </w:pPr>
      <w:r>
        <w:rPr>
          <w:b/>
          <w:bCs/>
          <w:noProof/>
        </w:rPr>
        <w:drawing>
          <wp:inline distT="0" distB="0" distL="0" distR="0" wp14:anchorId="281D2BE0" wp14:editId="46DC6442">
            <wp:extent cx="4632960" cy="2076789"/>
            <wp:effectExtent l="0" t="0" r="2540" b="6350"/>
            <wp:docPr id="1291724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4707" name="Image 1291724707"/>
                    <pic:cNvPicPr/>
                  </pic:nvPicPr>
                  <pic:blipFill>
                    <a:blip r:embed="rId6">
                      <a:extLst>
                        <a:ext uri="{28A0092B-C50C-407E-A947-70E740481C1C}">
                          <a14:useLocalDpi xmlns:a14="http://schemas.microsoft.com/office/drawing/2010/main" val="0"/>
                        </a:ext>
                      </a:extLst>
                    </a:blip>
                    <a:stretch>
                      <a:fillRect/>
                    </a:stretch>
                  </pic:blipFill>
                  <pic:spPr>
                    <a:xfrm>
                      <a:off x="0" y="0"/>
                      <a:ext cx="4641833" cy="2080767"/>
                    </a:xfrm>
                    <a:prstGeom prst="rect">
                      <a:avLst/>
                    </a:prstGeom>
                  </pic:spPr>
                </pic:pic>
              </a:graphicData>
            </a:graphic>
          </wp:inline>
        </w:drawing>
      </w:r>
    </w:p>
    <w:p w14:paraId="08757BB3" w14:textId="77777777" w:rsidR="00CE6CC2" w:rsidRDefault="00CE6CC2" w:rsidP="00EE1369">
      <w:pPr>
        <w:jc w:val="center"/>
        <w:rPr>
          <w:b/>
          <w:bCs/>
        </w:rPr>
      </w:pPr>
    </w:p>
    <w:p w14:paraId="09FAD039" w14:textId="5796C527" w:rsidR="00B84AD9" w:rsidRPr="00F700EC" w:rsidRDefault="00B84AD9" w:rsidP="00B84AD9">
      <w:pPr>
        <w:jc w:val="center"/>
        <w:rPr>
          <w:sz w:val="32"/>
          <w:szCs w:val="32"/>
          <w:lang w:val="fr-CA"/>
        </w:rPr>
      </w:pPr>
      <w:r w:rsidRPr="00F700EC">
        <w:rPr>
          <w:sz w:val="32"/>
          <w:szCs w:val="32"/>
          <w:lang w:val="fr-CA"/>
        </w:rPr>
        <w:t xml:space="preserve">Note d'information sur le rapport du directeur parlementaire du budget sur les usines de fabrication de batteries : </w:t>
      </w:r>
    </w:p>
    <w:p w14:paraId="7612CC62" w14:textId="58951477" w:rsidR="00B84AD9" w:rsidRPr="00F700EC" w:rsidRDefault="00B84AD9" w:rsidP="00B84AD9">
      <w:pPr>
        <w:jc w:val="center"/>
        <w:rPr>
          <w:sz w:val="32"/>
          <w:szCs w:val="32"/>
          <w:lang w:val="fr-CA"/>
        </w:rPr>
      </w:pPr>
      <w:r w:rsidRPr="00F700EC">
        <w:rPr>
          <w:sz w:val="32"/>
          <w:szCs w:val="32"/>
          <w:lang w:val="fr-CA"/>
        </w:rPr>
        <w:t>des calculs incomplets et trompeurs</w:t>
      </w:r>
    </w:p>
    <w:p w14:paraId="4A37B5D9" w14:textId="77777777" w:rsidR="00B84AD9" w:rsidRPr="00F700EC" w:rsidRDefault="00B84AD9" w:rsidP="00B84AD9">
      <w:pPr>
        <w:jc w:val="center"/>
        <w:rPr>
          <w:sz w:val="32"/>
          <w:szCs w:val="32"/>
          <w:lang w:val="fr-CA"/>
        </w:rPr>
      </w:pPr>
    </w:p>
    <w:p w14:paraId="2B3575A7" w14:textId="51496C5D" w:rsidR="00B84AD9" w:rsidRPr="00F700EC" w:rsidRDefault="00B84AD9" w:rsidP="00B84AD9">
      <w:pPr>
        <w:jc w:val="center"/>
        <w:rPr>
          <w:sz w:val="32"/>
          <w:szCs w:val="32"/>
          <w:lang w:val="fr-CA"/>
        </w:rPr>
      </w:pPr>
      <w:r w:rsidRPr="00F700EC">
        <w:rPr>
          <w:sz w:val="32"/>
          <w:szCs w:val="32"/>
          <w:lang w:val="fr-CA"/>
        </w:rPr>
        <w:t>Par Mobilité Électrique Canada</w:t>
      </w:r>
    </w:p>
    <w:p w14:paraId="3CEF5B37" w14:textId="77777777" w:rsidR="00B84AD9" w:rsidRPr="00F700EC" w:rsidRDefault="00B84AD9" w:rsidP="00B84AD9">
      <w:pPr>
        <w:jc w:val="center"/>
        <w:rPr>
          <w:sz w:val="32"/>
          <w:szCs w:val="32"/>
          <w:lang w:val="fr-CA"/>
        </w:rPr>
      </w:pPr>
    </w:p>
    <w:p w14:paraId="67178BFE" w14:textId="5FFCDB41" w:rsidR="00C546AC" w:rsidRDefault="00B84AD9" w:rsidP="00CE6CC2">
      <w:pPr>
        <w:jc w:val="center"/>
        <w:rPr>
          <w:sz w:val="36"/>
          <w:szCs w:val="36"/>
        </w:rPr>
      </w:pPr>
      <w:r w:rsidRPr="00F700EC">
        <w:rPr>
          <w:sz w:val="32"/>
          <w:szCs w:val="32"/>
        </w:rPr>
        <w:t>20 septembre 2023</w:t>
      </w:r>
    </w:p>
    <w:p w14:paraId="4086E409" w14:textId="77777777" w:rsidR="00CE6CC2" w:rsidRDefault="00CE6CC2" w:rsidP="00E9295B">
      <w:pPr>
        <w:jc w:val="center"/>
        <w:rPr>
          <w:sz w:val="36"/>
          <w:szCs w:val="36"/>
        </w:rPr>
      </w:pPr>
    </w:p>
    <w:p w14:paraId="6214B524" w14:textId="3C9B3DE8" w:rsidR="00D22E40" w:rsidRDefault="00CE6CC2" w:rsidP="00C16B4F">
      <w:pPr>
        <w:jc w:val="center"/>
        <w:rPr>
          <w:rFonts w:cstheme="minorHAnsi"/>
          <w:i/>
          <w:iCs/>
          <w:sz w:val="24"/>
          <w:szCs w:val="24"/>
        </w:rPr>
      </w:pPr>
      <w:r>
        <w:rPr>
          <w:rFonts w:cstheme="minorHAnsi"/>
          <w:noProof/>
          <w:color w:val="191919"/>
          <w:lang w:val="en-US"/>
        </w:rPr>
        <w:drawing>
          <wp:inline distT="0" distB="0" distL="0" distR="0" wp14:anchorId="232CCB9A" wp14:editId="31D1B5DA">
            <wp:extent cx="5486400" cy="2453640"/>
            <wp:effectExtent l="0" t="0" r="0" b="0"/>
            <wp:docPr id="1968385042" name="Image 196838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5436" name="Image 10673054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453640"/>
                    </a:xfrm>
                    <a:prstGeom prst="rect">
                      <a:avLst/>
                    </a:prstGeom>
                  </pic:spPr>
                </pic:pic>
              </a:graphicData>
            </a:graphic>
          </wp:inline>
        </w:drawing>
      </w:r>
    </w:p>
    <w:p w14:paraId="6F4C1871" w14:textId="77777777" w:rsidR="00B84AD9" w:rsidRDefault="00B84AD9" w:rsidP="0053146C">
      <w:pPr>
        <w:jc w:val="both"/>
        <w:rPr>
          <w:rFonts w:cstheme="minorHAnsi"/>
          <w:i/>
          <w:iCs/>
          <w:sz w:val="24"/>
          <w:szCs w:val="24"/>
        </w:rPr>
      </w:pPr>
    </w:p>
    <w:p w14:paraId="2FAF7FDB" w14:textId="768475C9" w:rsidR="00B84AD9" w:rsidRPr="00F700EC" w:rsidRDefault="00B84AD9" w:rsidP="00E254F4">
      <w:pPr>
        <w:jc w:val="both"/>
        <w:rPr>
          <w:rFonts w:cstheme="minorHAnsi"/>
          <w:lang w:val="fr-CA"/>
        </w:rPr>
      </w:pPr>
      <w:r w:rsidRPr="00F700EC">
        <w:rPr>
          <w:rFonts w:cstheme="minorHAnsi"/>
          <w:lang w:val="fr-CA"/>
        </w:rPr>
        <w:lastRenderedPageBreak/>
        <w:t>Montréal, 20 septembre 2023 - La semaine dernière, le directeur parlementaire du budget (DPB) a publié une analyse du seuil de rentabilité des subventions à la production pour Stellantis-LGES et Volkswagen</w:t>
      </w:r>
      <w:r w:rsidRPr="00F700EC">
        <w:rPr>
          <w:rFonts w:cstheme="minorHAnsi"/>
          <w:vertAlign w:val="superscript"/>
          <w:lang w:val="fr-CA"/>
        </w:rPr>
        <w:t>1</w:t>
      </w:r>
      <w:r w:rsidRPr="00F700EC">
        <w:rPr>
          <w:rFonts w:cstheme="minorHAnsi"/>
          <w:lang w:val="fr-CA"/>
        </w:rPr>
        <w:t>. Dans ce rapport, le DPB estime qu'il faudra 20 ans pour que les revenus gouvernementaux générés uniquement par les usines de fabrication de batteries de VE atteignent le montant des "subventions" à la production annoncées par les gouvernements du Canada et de l'Ontario. Mais l'analyse du seuil de rentabilité du DPB exclut les investissements et les augmentations de production dans d'autres nœuds de la chaîne d'approvisionnement des VE.</w:t>
      </w:r>
    </w:p>
    <w:p w14:paraId="7AC8C4E1" w14:textId="77777777" w:rsidR="00B84AD9" w:rsidRPr="00F700EC" w:rsidRDefault="00B84AD9" w:rsidP="00E254F4">
      <w:pPr>
        <w:jc w:val="both"/>
        <w:rPr>
          <w:rFonts w:cstheme="minorHAnsi"/>
          <w:b/>
          <w:bCs/>
          <w:lang w:val="fr-CA"/>
        </w:rPr>
      </w:pPr>
      <w:r w:rsidRPr="00F700EC">
        <w:rPr>
          <w:rFonts w:cstheme="minorHAnsi"/>
          <w:b/>
          <w:bCs/>
          <w:lang w:val="fr-CA"/>
        </w:rPr>
        <w:t xml:space="preserve">1- 91,4% du rendement potentiel exclu du rapport </w:t>
      </w:r>
    </w:p>
    <w:p w14:paraId="0335E128" w14:textId="0C555E52" w:rsidR="00B84AD9" w:rsidRPr="00F700EC" w:rsidRDefault="00B84AD9" w:rsidP="00E254F4">
      <w:pPr>
        <w:jc w:val="both"/>
        <w:rPr>
          <w:rFonts w:cstheme="minorHAnsi"/>
          <w:lang w:val="fr-CA"/>
        </w:rPr>
      </w:pPr>
      <w:r w:rsidRPr="00F700EC">
        <w:rPr>
          <w:rFonts w:cstheme="minorHAnsi"/>
          <w:lang w:val="fr-CA"/>
        </w:rPr>
        <w:t xml:space="preserve">Pour </w:t>
      </w:r>
      <w:r w:rsidR="00F95C70">
        <w:rPr>
          <w:rFonts w:cstheme="minorHAnsi"/>
          <w:lang w:val="fr-CA"/>
        </w:rPr>
        <w:t>MÉC</w:t>
      </w:r>
      <w:r w:rsidRPr="00F700EC">
        <w:rPr>
          <w:rFonts w:cstheme="minorHAnsi"/>
          <w:lang w:val="fr-CA"/>
        </w:rPr>
        <w:t xml:space="preserve">, cette exclusion est très surprenante étant donné que l'objectif principal du soutien financier du gouvernement vise </w:t>
      </w:r>
      <w:r w:rsidRPr="00F700EC">
        <w:rPr>
          <w:rFonts w:cstheme="minorHAnsi"/>
          <w:i/>
          <w:iCs/>
          <w:lang w:val="fr-CA"/>
        </w:rPr>
        <w:t>spécifiquement</w:t>
      </w:r>
      <w:r w:rsidRPr="00F700EC">
        <w:rPr>
          <w:rFonts w:cstheme="minorHAnsi"/>
          <w:lang w:val="fr-CA"/>
        </w:rPr>
        <w:t xml:space="preserve"> à développer une chaîne d'approvisionnement canadienne complète pour les VE. Comme l'indique le rapport du DPB, "la fabrication des cellules, qui aura lieu à l'usine Volkswagen, ne représente qu'une fraction des revenus supplémentaires (8,6 %) de l'ensemble de la chaîne d'approvisionnement".</w:t>
      </w:r>
    </w:p>
    <w:p w14:paraId="4C3DADB7" w14:textId="1D25E810" w:rsidR="00B84AD9" w:rsidRPr="00F700EC" w:rsidRDefault="00B84AD9" w:rsidP="00E254F4">
      <w:pPr>
        <w:jc w:val="both"/>
        <w:rPr>
          <w:rFonts w:cstheme="minorHAnsi"/>
          <w:lang w:val="fr-CA"/>
        </w:rPr>
      </w:pPr>
      <w:r w:rsidRPr="00F700EC">
        <w:rPr>
          <w:rFonts w:cstheme="minorHAnsi"/>
          <w:lang w:val="fr-CA"/>
        </w:rPr>
        <w:t xml:space="preserve">Le DPB a décidé d'exclure de son rapport 91,4 % de l'impact économique estimé de l'ensemble de la chaîne d'approvisionnement des VE, tout en affirmant avoir basé son estimation sur le même rapport du </w:t>
      </w:r>
      <w:r w:rsidR="00C94F11">
        <w:rPr>
          <w:rFonts w:cstheme="minorHAnsi"/>
          <w:lang w:val="fr-CA"/>
        </w:rPr>
        <w:t>R</w:t>
      </w:r>
      <w:r w:rsidRPr="00F700EC">
        <w:rPr>
          <w:rFonts w:cstheme="minorHAnsi"/>
          <w:lang w:val="fr-CA"/>
        </w:rPr>
        <w:t xml:space="preserve">éseau Trillium, qui inclut l'ensemble de la chaîne d'approvisionnement. Cette contradiction inhérente signifie que les calculs du DPB pour ce rapport sont au mieux incomplets </w:t>
      </w:r>
      <w:r w:rsidR="00F95C70">
        <w:rPr>
          <w:rFonts w:cstheme="minorHAnsi"/>
          <w:lang w:val="fr-CA"/>
        </w:rPr>
        <w:t>voire</w:t>
      </w:r>
      <w:r w:rsidRPr="00F700EC">
        <w:rPr>
          <w:rFonts w:cstheme="minorHAnsi"/>
          <w:lang w:val="fr-CA"/>
        </w:rPr>
        <w:t xml:space="preserve"> même trompeurs compte tenu de l'importance de la transition vers la fabrication de VE au Canada et dans le monde.</w:t>
      </w:r>
    </w:p>
    <w:p w14:paraId="5B62AEFB" w14:textId="6BD8F864" w:rsidR="00B84AD9" w:rsidRPr="00F700EC" w:rsidRDefault="00B84AD9" w:rsidP="00E254F4">
      <w:pPr>
        <w:jc w:val="both"/>
        <w:rPr>
          <w:rFonts w:cstheme="minorHAnsi"/>
          <w:lang w:val="fr-CA"/>
        </w:rPr>
      </w:pPr>
      <w:r w:rsidRPr="00F700EC">
        <w:rPr>
          <w:rFonts w:cstheme="minorHAnsi"/>
          <w:lang w:val="fr-CA"/>
        </w:rPr>
        <w:t xml:space="preserve">En se basant sur le rapport du Réseau Trillium utilisé par Innovation, Sciences et Développement économique (ISED), qui inclut les revenus de la chaîne d'approvisionnement complète, pour estimer le seuil de rentabilité de Volkswagen, Mobilité </w:t>
      </w:r>
      <w:r w:rsidR="00F95C70">
        <w:rPr>
          <w:rFonts w:cstheme="minorHAnsi"/>
          <w:lang w:val="fr-CA"/>
        </w:rPr>
        <w:t>É</w:t>
      </w:r>
      <w:r w:rsidRPr="00F700EC">
        <w:rPr>
          <w:rFonts w:cstheme="minorHAnsi"/>
          <w:lang w:val="fr-CA"/>
        </w:rPr>
        <w:t>lectrique Canada soutient le seuil de rentabilité de moins de 5 ans pour les subventions à la production de Stellantis-LGES et de Volkswagen.</w:t>
      </w:r>
    </w:p>
    <w:p w14:paraId="5CA7D441" w14:textId="59213434" w:rsidR="00B84AD9" w:rsidRPr="00F700EC" w:rsidRDefault="00B84AD9" w:rsidP="00E254F4">
      <w:pPr>
        <w:jc w:val="both"/>
        <w:rPr>
          <w:rFonts w:cstheme="minorHAnsi"/>
          <w:lang w:val="fr-CA"/>
        </w:rPr>
      </w:pPr>
      <w:r w:rsidRPr="00F700EC">
        <w:rPr>
          <w:rFonts w:cstheme="minorHAnsi"/>
          <w:lang w:val="fr-CA"/>
        </w:rPr>
        <w:t xml:space="preserve">En supposant des recettes publiques supplémentaires de 4 milliards de dollars par an à pleine production, ce qui est une estimation intermédiaire entre les scénarios 1 et 3 de Trillium, </w:t>
      </w:r>
      <w:r w:rsidR="009B60BA">
        <w:rPr>
          <w:rFonts w:cstheme="minorHAnsi"/>
          <w:lang w:val="fr-CA"/>
        </w:rPr>
        <w:t xml:space="preserve">ISED </w:t>
      </w:r>
      <w:r w:rsidRPr="00F700EC">
        <w:rPr>
          <w:rFonts w:cstheme="minorHAnsi"/>
          <w:lang w:val="fr-CA"/>
        </w:rPr>
        <w:t>a estimé que les recettes publiques, sur une base cumulative, seraient égales à la valeur de la subvention à la production (13,3 milliards de dollars) en 3,3 ans, ce qui est conforme au calendrier annoncé par le Premier ministre et le ministre de l'Innovation, de la Science et de l'Industrie.</w:t>
      </w:r>
    </w:p>
    <w:p w14:paraId="5C6450BB" w14:textId="6073A45D" w:rsidR="00B84AD9" w:rsidRPr="00F700EC" w:rsidRDefault="00B84AD9" w:rsidP="00E254F4">
      <w:pPr>
        <w:jc w:val="both"/>
        <w:rPr>
          <w:rFonts w:cstheme="minorHAnsi"/>
          <w:b/>
          <w:bCs/>
          <w:lang w:val="fr-CA"/>
        </w:rPr>
      </w:pPr>
      <w:r w:rsidRPr="00F700EC">
        <w:rPr>
          <w:rFonts w:cstheme="minorHAnsi"/>
          <w:b/>
          <w:bCs/>
          <w:lang w:val="fr-CA"/>
        </w:rPr>
        <w:t>2- L'argument de l'incertitude est d</w:t>
      </w:r>
      <w:r w:rsidR="00F95C70">
        <w:rPr>
          <w:rFonts w:cstheme="minorHAnsi"/>
          <w:b/>
          <w:bCs/>
          <w:lang w:val="fr-CA"/>
        </w:rPr>
        <w:t>épassé</w:t>
      </w:r>
    </w:p>
    <w:p w14:paraId="0F7A09C7" w14:textId="2326F7F8" w:rsidR="00B84AD9" w:rsidRPr="00F700EC" w:rsidRDefault="00B84AD9" w:rsidP="00E254F4">
      <w:pPr>
        <w:jc w:val="both"/>
        <w:rPr>
          <w:rFonts w:cstheme="minorHAnsi"/>
          <w:lang w:val="fr-CA"/>
        </w:rPr>
      </w:pPr>
      <w:r w:rsidRPr="00F700EC">
        <w:rPr>
          <w:rFonts w:cstheme="minorHAnsi"/>
          <w:lang w:val="fr-CA"/>
        </w:rPr>
        <w:t xml:space="preserve">Selon le </w:t>
      </w:r>
      <w:r w:rsidR="00F95C70">
        <w:rPr>
          <w:rFonts w:cstheme="minorHAnsi"/>
          <w:lang w:val="fr-CA"/>
        </w:rPr>
        <w:t>DPB</w:t>
      </w:r>
      <w:r w:rsidRPr="00F700EC">
        <w:rPr>
          <w:rFonts w:cstheme="minorHAnsi"/>
          <w:lang w:val="fr-CA"/>
        </w:rPr>
        <w:t xml:space="preserve">, la principale raison pour laquelle il n'a pas pris en compte l'ensemble de la chaîne d'approvisionnement est l'incertitude. On peut lire : "Compte tenu de l'incertitude entourant la localisation géographique future des investissements et de la production liés à d'autres nœuds de la chaîne d'approvisionnement des VE, tels que l'assemblage des VE et la production de matériaux pour les batteries, l'estimation du PBO ne représente que les recettes publiques générées par la fabrication de cellules et de modules, sur lesquelles les subventions à la production sont basées. Cela contraste avec l'analyse du seuil de rentabilité du gouvernement fédéral pour Volkswagen, qui incluait des investissements et supposait des augmentations de production dans d'autres nœuds de la chaîne d'approvisionnement des VE". </w:t>
      </w:r>
    </w:p>
    <w:p w14:paraId="15C83F1B" w14:textId="0906A345" w:rsidR="00B84AD9" w:rsidRPr="00F700EC" w:rsidRDefault="00B84AD9" w:rsidP="00E254F4">
      <w:pPr>
        <w:jc w:val="both"/>
        <w:rPr>
          <w:rFonts w:cstheme="minorHAnsi"/>
          <w:lang w:val="fr-CA"/>
        </w:rPr>
      </w:pPr>
      <w:r w:rsidRPr="00F700EC">
        <w:rPr>
          <w:rFonts w:cstheme="minorHAnsi"/>
          <w:lang w:val="fr-CA"/>
        </w:rPr>
        <w:lastRenderedPageBreak/>
        <w:t>Cet argument est déjà d</w:t>
      </w:r>
      <w:r w:rsidR="00F95C70">
        <w:rPr>
          <w:rFonts w:cstheme="minorHAnsi"/>
          <w:lang w:val="fr-CA"/>
        </w:rPr>
        <w:t>épassé</w:t>
      </w:r>
      <w:r w:rsidRPr="00F700EC">
        <w:rPr>
          <w:rFonts w:cstheme="minorHAnsi"/>
          <w:lang w:val="fr-CA"/>
        </w:rPr>
        <w:t>, étant donné que de nombreux autres investissements ont été récemment annoncés par un nombre croissant d'acteurs internationaux qui ont choisi le Canada comme lieu privilégié pour la fabrication de composant</w:t>
      </w:r>
      <w:r w:rsidR="00F95C70">
        <w:rPr>
          <w:rFonts w:cstheme="minorHAnsi"/>
          <w:lang w:val="fr-CA"/>
        </w:rPr>
        <w:t>e</w:t>
      </w:r>
      <w:r w:rsidRPr="00F700EC">
        <w:rPr>
          <w:rFonts w:cstheme="minorHAnsi"/>
          <w:lang w:val="fr-CA"/>
        </w:rPr>
        <w:t xml:space="preserve">s de batteries, </w:t>
      </w:r>
      <w:r w:rsidR="00F95C70">
        <w:rPr>
          <w:rFonts w:cstheme="minorHAnsi"/>
          <w:lang w:val="fr-CA"/>
        </w:rPr>
        <w:t>d</w:t>
      </w:r>
      <w:r w:rsidRPr="00F700EC">
        <w:rPr>
          <w:rFonts w:cstheme="minorHAnsi"/>
          <w:lang w:val="fr-CA"/>
        </w:rPr>
        <w:t xml:space="preserve">es projets miniers, </w:t>
      </w:r>
      <w:r w:rsidR="00F95C70">
        <w:rPr>
          <w:rFonts w:cstheme="minorHAnsi"/>
          <w:lang w:val="fr-CA"/>
        </w:rPr>
        <w:t>d</w:t>
      </w:r>
      <w:r w:rsidRPr="00F700EC">
        <w:rPr>
          <w:rFonts w:cstheme="minorHAnsi"/>
          <w:lang w:val="fr-CA"/>
        </w:rPr>
        <w:t>es projets de recyclage de batteries, l'assemblage de VE et d'autres investissements en raison de la volonté du gouvernement canadien de développer une chaîne d'approvisionnement en VE... et d'autres investissements dans l'industrie des VE seront annoncés au cours des semaines et des mois à venir.</w:t>
      </w:r>
    </w:p>
    <w:p w14:paraId="6C377798" w14:textId="60FD1858" w:rsidR="00B84AD9" w:rsidRPr="00F700EC" w:rsidRDefault="00B84AD9" w:rsidP="00E254F4">
      <w:pPr>
        <w:pStyle w:val="NormalWeb"/>
        <w:jc w:val="both"/>
        <w:rPr>
          <w:rFonts w:asciiTheme="minorHAnsi" w:hAnsiTheme="minorHAnsi" w:cstheme="minorHAnsi"/>
          <w:i/>
          <w:iCs/>
          <w:sz w:val="22"/>
          <w:szCs w:val="22"/>
        </w:rPr>
      </w:pPr>
      <w:r w:rsidRPr="00F700EC">
        <w:rPr>
          <w:rFonts w:asciiTheme="minorHAnsi" w:hAnsiTheme="minorHAnsi" w:cstheme="minorHAnsi"/>
          <w:i/>
          <w:iCs/>
          <w:sz w:val="22"/>
          <w:szCs w:val="22"/>
        </w:rPr>
        <w:t>"Après des décennies au cours desquelles le secteur manufacturier canadien a été lentement mais sûrement transféré à l'étranger et le nombre d'emplois manufacturiers a diminué, il s'agit d'un revirement monumental pour la croissance future d'emplois durables bien rémunérés pour la jeune génération investie dans la transition énergétique et l'amélioration de l'environnement. Le fait que le rapport du DPB examine ces investissements majeurs en vase clos révèle une façon très dépassée d'envisager l'impact économique, social, environnemental et sanitaire global de ces investissements" - Daniel Breton, président-directeur général, Mobilité électrique Canada.</w:t>
      </w:r>
    </w:p>
    <w:p w14:paraId="60F63253" w14:textId="39F2FA92" w:rsidR="00F95C70" w:rsidRPr="00F700EC" w:rsidRDefault="00F95C70" w:rsidP="00E254F4">
      <w:pPr>
        <w:pStyle w:val="NormalWeb"/>
        <w:jc w:val="both"/>
        <w:rPr>
          <w:rFonts w:asciiTheme="minorHAnsi" w:hAnsiTheme="minorHAnsi" w:cstheme="minorHAnsi"/>
          <w:sz w:val="22"/>
          <w:szCs w:val="22"/>
        </w:rPr>
      </w:pPr>
      <w:r w:rsidRPr="00F700EC">
        <w:rPr>
          <w:rFonts w:asciiTheme="minorHAnsi" w:hAnsiTheme="minorHAnsi" w:cstheme="minorHAnsi"/>
          <w:sz w:val="22"/>
          <w:szCs w:val="22"/>
        </w:rPr>
        <w:t xml:space="preserve">Pour donner une idée plus précise du niveau d'investissement dans la fabrication de VE dans le monde et de la certitude que c'est </w:t>
      </w:r>
      <w:r>
        <w:rPr>
          <w:rFonts w:asciiTheme="minorHAnsi" w:hAnsiTheme="minorHAnsi" w:cstheme="minorHAnsi"/>
          <w:sz w:val="22"/>
          <w:szCs w:val="22"/>
        </w:rPr>
        <w:t>là</w:t>
      </w:r>
      <w:r w:rsidRPr="00F700EC">
        <w:rPr>
          <w:rFonts w:asciiTheme="minorHAnsi" w:hAnsiTheme="minorHAnsi" w:cstheme="minorHAnsi"/>
          <w:sz w:val="22"/>
          <w:szCs w:val="22"/>
        </w:rPr>
        <w:t xml:space="preserve"> </w:t>
      </w:r>
      <w:r>
        <w:rPr>
          <w:rFonts w:asciiTheme="minorHAnsi" w:hAnsiTheme="minorHAnsi" w:cstheme="minorHAnsi"/>
          <w:sz w:val="22"/>
          <w:szCs w:val="22"/>
        </w:rPr>
        <w:t>où</w:t>
      </w:r>
      <w:r w:rsidRPr="00F700EC">
        <w:rPr>
          <w:rFonts w:asciiTheme="minorHAnsi" w:hAnsiTheme="minorHAnsi" w:cstheme="minorHAnsi"/>
          <w:sz w:val="22"/>
          <w:szCs w:val="22"/>
        </w:rPr>
        <w:t xml:space="preserve"> le monde se dirige, en octobre 2022, Reuters</w:t>
      </w:r>
      <w:r w:rsidRPr="00F700EC">
        <w:rPr>
          <w:rFonts w:asciiTheme="minorHAnsi" w:hAnsiTheme="minorHAnsi" w:cstheme="minorHAnsi"/>
          <w:sz w:val="22"/>
          <w:szCs w:val="22"/>
          <w:vertAlign w:val="superscript"/>
        </w:rPr>
        <w:t>2</w:t>
      </w:r>
      <w:r w:rsidRPr="00F700EC">
        <w:rPr>
          <w:rFonts w:asciiTheme="minorHAnsi" w:hAnsiTheme="minorHAnsi" w:cstheme="minorHAnsi"/>
          <w:sz w:val="22"/>
          <w:szCs w:val="22"/>
        </w:rPr>
        <w:t xml:space="preserve"> a estimé que "les principaux constructeurs automobiles mondiaux prévoient dépenser près de 12</w:t>
      </w:r>
      <w:r w:rsidR="00F700EC">
        <w:rPr>
          <w:rFonts w:asciiTheme="minorHAnsi" w:hAnsiTheme="minorHAnsi" w:cstheme="minorHAnsi"/>
          <w:sz w:val="22"/>
          <w:szCs w:val="22"/>
        </w:rPr>
        <w:t xml:space="preserve">00 milliards </w:t>
      </w:r>
      <w:r w:rsidRPr="00F700EC">
        <w:rPr>
          <w:rFonts w:asciiTheme="minorHAnsi" w:hAnsiTheme="minorHAnsi" w:cstheme="minorHAnsi"/>
          <w:sz w:val="22"/>
          <w:szCs w:val="22"/>
        </w:rPr>
        <w:t>de dollars jusqu'en 2030 pour développer et produire des millions de véhicules électriques, ainsi que les batteries et les matières premières nécessaires à cette production, selon une analyse Reuters des données publiques et des projections publiées par ces entreprises".</w:t>
      </w:r>
    </w:p>
    <w:p w14:paraId="4E76F365" w14:textId="546FB128" w:rsidR="00F95C70" w:rsidRPr="00F700EC" w:rsidRDefault="00F700EC" w:rsidP="00E254F4">
      <w:pPr>
        <w:pStyle w:val="NormalWeb"/>
        <w:jc w:val="both"/>
        <w:rPr>
          <w:rFonts w:asciiTheme="minorHAnsi" w:hAnsiTheme="minorHAnsi" w:cstheme="minorHAnsi"/>
          <w:sz w:val="22"/>
          <w:szCs w:val="22"/>
        </w:rPr>
      </w:pPr>
      <w:r>
        <w:rPr>
          <w:rFonts w:asciiTheme="minorHAnsi" w:hAnsiTheme="minorHAnsi" w:cstheme="minorHAnsi"/>
          <w:sz w:val="22"/>
          <w:szCs w:val="22"/>
        </w:rPr>
        <w:t>MÉC</w:t>
      </w:r>
      <w:r w:rsidR="00F95C70" w:rsidRPr="00F700EC">
        <w:rPr>
          <w:rFonts w:asciiTheme="minorHAnsi" w:hAnsiTheme="minorHAnsi" w:cstheme="minorHAnsi"/>
          <w:sz w:val="22"/>
          <w:szCs w:val="22"/>
        </w:rPr>
        <w:t xml:space="preserve"> aimerait également souligner que ces chiffres d'investissement importants dans le monde entier </w:t>
      </w:r>
      <w:r w:rsidR="00F95C70" w:rsidRPr="00F700EC">
        <w:rPr>
          <w:rFonts w:asciiTheme="minorHAnsi" w:hAnsiTheme="minorHAnsi" w:cstheme="minorHAnsi"/>
          <w:i/>
          <w:iCs/>
          <w:sz w:val="22"/>
          <w:szCs w:val="22"/>
        </w:rPr>
        <w:t>n'incluent pas les investissements dans l'infrastructure des VE et les mises à niveau du réseau</w:t>
      </w:r>
      <w:r w:rsidR="00F95C70" w:rsidRPr="00F700EC">
        <w:rPr>
          <w:rFonts w:asciiTheme="minorHAnsi" w:hAnsiTheme="minorHAnsi" w:cstheme="minorHAnsi"/>
          <w:sz w:val="22"/>
          <w:szCs w:val="22"/>
        </w:rPr>
        <w:t>. En ce qui concerne l</w:t>
      </w:r>
      <w:r>
        <w:rPr>
          <w:rFonts w:asciiTheme="minorHAnsi" w:hAnsiTheme="minorHAnsi" w:cstheme="minorHAnsi"/>
          <w:sz w:val="22"/>
          <w:szCs w:val="22"/>
        </w:rPr>
        <w:t xml:space="preserve">es </w:t>
      </w:r>
      <w:r w:rsidR="00F95C70" w:rsidRPr="00F700EC">
        <w:rPr>
          <w:rFonts w:asciiTheme="minorHAnsi" w:hAnsiTheme="minorHAnsi" w:cstheme="minorHAnsi"/>
          <w:sz w:val="22"/>
          <w:szCs w:val="22"/>
        </w:rPr>
        <w:t>infrastructure</w:t>
      </w:r>
      <w:r>
        <w:rPr>
          <w:rFonts w:asciiTheme="minorHAnsi" w:hAnsiTheme="minorHAnsi" w:cstheme="minorHAnsi"/>
          <w:sz w:val="22"/>
          <w:szCs w:val="22"/>
        </w:rPr>
        <w:t>s</w:t>
      </w:r>
      <w:r w:rsidR="00F95C70" w:rsidRPr="00F700EC">
        <w:rPr>
          <w:rFonts w:asciiTheme="minorHAnsi" w:hAnsiTheme="minorHAnsi" w:cstheme="minorHAnsi"/>
          <w:sz w:val="22"/>
          <w:szCs w:val="22"/>
        </w:rPr>
        <w:t xml:space="preserve"> de recharge des VE au Canada, </w:t>
      </w:r>
      <w:r>
        <w:rPr>
          <w:rFonts w:asciiTheme="minorHAnsi" w:hAnsiTheme="minorHAnsi" w:cstheme="minorHAnsi"/>
          <w:sz w:val="22"/>
          <w:szCs w:val="22"/>
        </w:rPr>
        <w:t>MÉC</w:t>
      </w:r>
      <w:r w:rsidR="00F95C70" w:rsidRPr="00F700EC">
        <w:rPr>
          <w:rFonts w:asciiTheme="minorHAnsi" w:hAnsiTheme="minorHAnsi" w:cstheme="minorHAnsi"/>
          <w:sz w:val="22"/>
          <w:szCs w:val="22"/>
        </w:rPr>
        <w:t xml:space="preserve"> estime qu'au moins 12 milliards de dollars de revenus provenant des ventes et de l'installation </w:t>
      </w:r>
      <w:r>
        <w:rPr>
          <w:rFonts w:asciiTheme="minorHAnsi" w:hAnsiTheme="minorHAnsi" w:cstheme="minorHAnsi"/>
          <w:sz w:val="22"/>
          <w:szCs w:val="22"/>
        </w:rPr>
        <w:t xml:space="preserve">d’infrastructures </w:t>
      </w:r>
      <w:r w:rsidR="00F95C70" w:rsidRPr="00F700EC">
        <w:rPr>
          <w:rFonts w:asciiTheme="minorHAnsi" w:hAnsiTheme="minorHAnsi" w:cstheme="minorHAnsi"/>
          <w:sz w:val="22"/>
          <w:szCs w:val="22"/>
        </w:rPr>
        <w:t>seront générés d'ici 2030 et que la plupart des emplois créés par les ventes et le déploiement d</w:t>
      </w:r>
      <w:r>
        <w:rPr>
          <w:rFonts w:asciiTheme="minorHAnsi" w:hAnsiTheme="minorHAnsi" w:cstheme="minorHAnsi"/>
          <w:sz w:val="22"/>
          <w:szCs w:val="22"/>
        </w:rPr>
        <w:t xml:space="preserve">es </w:t>
      </w:r>
      <w:r w:rsidR="00F95C70" w:rsidRPr="00F700EC">
        <w:rPr>
          <w:rFonts w:asciiTheme="minorHAnsi" w:hAnsiTheme="minorHAnsi" w:cstheme="minorHAnsi"/>
          <w:sz w:val="22"/>
          <w:szCs w:val="22"/>
        </w:rPr>
        <w:t>infrastructure</w:t>
      </w:r>
      <w:r>
        <w:rPr>
          <w:rFonts w:asciiTheme="minorHAnsi" w:hAnsiTheme="minorHAnsi" w:cstheme="minorHAnsi"/>
          <w:sz w:val="22"/>
          <w:szCs w:val="22"/>
        </w:rPr>
        <w:t>s</w:t>
      </w:r>
      <w:r w:rsidR="00F95C70" w:rsidRPr="00F700EC">
        <w:rPr>
          <w:rFonts w:asciiTheme="minorHAnsi" w:hAnsiTheme="minorHAnsi" w:cstheme="minorHAnsi"/>
          <w:sz w:val="22"/>
          <w:szCs w:val="22"/>
        </w:rPr>
        <w:t xml:space="preserve"> des VE contribueront à créer des emplois au Canada dans les secteurs de la fabrication, de l'électricité et de la construction. </w:t>
      </w:r>
    </w:p>
    <w:p w14:paraId="77B425A8" w14:textId="035B7BAB" w:rsidR="00F95C70" w:rsidRPr="00F700EC" w:rsidRDefault="00F700EC" w:rsidP="00F95C70">
      <w:pPr>
        <w:pStyle w:val="NormalWeb"/>
        <w:rPr>
          <w:rFonts w:asciiTheme="minorHAnsi" w:hAnsiTheme="minorHAnsi" w:cstheme="minorHAnsi"/>
          <w:b/>
          <w:bCs/>
          <w:sz w:val="22"/>
          <w:szCs w:val="22"/>
        </w:rPr>
      </w:pPr>
      <w:r>
        <w:rPr>
          <w:rFonts w:asciiTheme="minorHAnsi" w:hAnsiTheme="minorHAnsi" w:cstheme="minorHAnsi"/>
          <w:b/>
          <w:bCs/>
          <w:sz w:val="22"/>
          <w:szCs w:val="22"/>
        </w:rPr>
        <w:t>3</w:t>
      </w:r>
      <w:r w:rsidR="00F95C70" w:rsidRPr="00F700EC">
        <w:rPr>
          <w:rFonts w:asciiTheme="minorHAnsi" w:hAnsiTheme="minorHAnsi" w:cstheme="minorHAnsi"/>
          <w:b/>
          <w:bCs/>
          <w:sz w:val="22"/>
          <w:szCs w:val="22"/>
        </w:rPr>
        <w:t>- Les réglementations sur les VZE et GES nous rapprochent du scénario 3</w:t>
      </w:r>
    </w:p>
    <w:p w14:paraId="551588F4" w14:textId="4F43B266" w:rsidR="00F95C70" w:rsidRPr="00F700EC" w:rsidRDefault="00F95C70" w:rsidP="00F700EC">
      <w:pPr>
        <w:pStyle w:val="NormalWeb"/>
        <w:jc w:val="both"/>
        <w:rPr>
          <w:rFonts w:asciiTheme="minorHAnsi" w:hAnsiTheme="minorHAnsi" w:cstheme="minorHAnsi"/>
          <w:sz w:val="22"/>
          <w:szCs w:val="22"/>
        </w:rPr>
      </w:pPr>
      <w:r w:rsidRPr="00F700EC">
        <w:rPr>
          <w:rFonts w:asciiTheme="minorHAnsi" w:hAnsiTheme="minorHAnsi" w:cstheme="minorHAnsi"/>
          <w:sz w:val="22"/>
          <w:szCs w:val="22"/>
        </w:rPr>
        <w:t>En examinant le rapport Trillium, le rapport du DPB indique que " le premier scénario ("Adoption hors cible des VE") comprend uniquement les investissements liés aux batteries de VE annoncés au Canada au moment du rapport, y compris l'installation Stellantis-LGES, et suppose que les ventes de VE au Canada et aux États-Unis n'atteignent pas les objectifs annoncés par le gouvernement "</w:t>
      </w:r>
    </w:p>
    <w:p w14:paraId="3633DA46" w14:textId="65A470DC" w:rsidR="00F95C70" w:rsidRPr="00F700EC" w:rsidRDefault="00F95C70" w:rsidP="00F700EC">
      <w:pPr>
        <w:pStyle w:val="NormalWeb"/>
        <w:jc w:val="both"/>
        <w:rPr>
          <w:rFonts w:asciiTheme="minorHAnsi" w:hAnsiTheme="minorHAnsi" w:cstheme="minorHAnsi"/>
          <w:sz w:val="22"/>
          <w:szCs w:val="22"/>
        </w:rPr>
      </w:pPr>
      <w:r w:rsidRPr="00F700EC">
        <w:rPr>
          <w:rFonts w:asciiTheme="minorHAnsi" w:hAnsiTheme="minorHAnsi" w:cstheme="minorHAnsi"/>
          <w:sz w:val="22"/>
          <w:szCs w:val="22"/>
        </w:rPr>
        <w:t xml:space="preserve">Il est important de noter que le rapport Trillium a été rédigé en septembre 2022, </w:t>
      </w:r>
      <w:r w:rsidR="00F700EC">
        <w:rPr>
          <w:rFonts w:asciiTheme="minorHAnsi" w:hAnsiTheme="minorHAnsi" w:cstheme="minorHAnsi"/>
          <w:sz w:val="22"/>
          <w:szCs w:val="22"/>
        </w:rPr>
        <w:t xml:space="preserve">soit </w:t>
      </w:r>
      <w:r w:rsidRPr="00F700EC">
        <w:rPr>
          <w:rFonts w:asciiTheme="minorHAnsi" w:hAnsiTheme="minorHAnsi" w:cstheme="minorHAnsi"/>
          <w:sz w:val="22"/>
          <w:szCs w:val="22"/>
        </w:rPr>
        <w:t>avant que le gouvernement canadien n'annonce officiellement ses objectifs de ventes de VZE</w:t>
      </w:r>
      <w:r w:rsidRPr="00F700EC">
        <w:rPr>
          <w:rFonts w:asciiTheme="minorHAnsi" w:hAnsiTheme="minorHAnsi" w:cstheme="minorHAnsi"/>
          <w:sz w:val="22"/>
          <w:szCs w:val="22"/>
          <w:vertAlign w:val="superscript"/>
        </w:rPr>
        <w:t>3</w:t>
      </w:r>
      <w:r w:rsidRPr="00F700EC">
        <w:rPr>
          <w:rFonts w:asciiTheme="minorHAnsi" w:hAnsiTheme="minorHAnsi" w:cstheme="minorHAnsi"/>
          <w:sz w:val="22"/>
          <w:szCs w:val="22"/>
        </w:rPr>
        <w:t xml:space="preserve"> et sa réglementation en décembre 2022 et avant que le gouvernement américain n'annonce ses propres objectifs d'émissions de GES et sa réglementation en avril 2023</w:t>
      </w:r>
      <w:r w:rsidRPr="00F700EC">
        <w:rPr>
          <w:rFonts w:asciiTheme="minorHAnsi" w:hAnsiTheme="minorHAnsi" w:cstheme="minorHAnsi"/>
          <w:sz w:val="22"/>
          <w:szCs w:val="22"/>
          <w:vertAlign w:val="superscript"/>
        </w:rPr>
        <w:t>4</w:t>
      </w:r>
      <w:r w:rsidRPr="00F700EC">
        <w:rPr>
          <w:rFonts w:asciiTheme="minorHAnsi" w:hAnsiTheme="minorHAnsi" w:cstheme="minorHAnsi"/>
          <w:sz w:val="22"/>
          <w:szCs w:val="22"/>
        </w:rPr>
        <w:t xml:space="preserve">. Le fait que les deux gouvernements aient officiellement annoncé qu'ils allaient adopter des réglementations claires pour garantir la croissance des ventes de VE exclut le scénario 1 des résultats d'investissement les plus plausibles et rapproche le Canada du scénario 3. </w:t>
      </w:r>
    </w:p>
    <w:p w14:paraId="55A84C19" w14:textId="7E497CE7" w:rsidR="00F95C70" w:rsidRPr="00F700EC" w:rsidRDefault="00F95C70" w:rsidP="00F700EC">
      <w:pPr>
        <w:pStyle w:val="NormalWeb"/>
        <w:rPr>
          <w:rFonts w:asciiTheme="minorHAnsi" w:hAnsiTheme="minorHAnsi" w:cstheme="minorHAnsi"/>
          <w:sz w:val="22"/>
          <w:szCs w:val="22"/>
        </w:rPr>
      </w:pPr>
      <w:r w:rsidRPr="00F700EC">
        <w:rPr>
          <w:rFonts w:asciiTheme="minorHAnsi" w:hAnsiTheme="minorHAnsi" w:cstheme="minorHAnsi"/>
          <w:sz w:val="22"/>
          <w:szCs w:val="22"/>
        </w:rPr>
        <w:lastRenderedPageBreak/>
        <w:t>En outre, le fait que les ventes de VE aient atteint des niveaux record aux États-Unis (10 % en juin 2023)</w:t>
      </w:r>
      <w:r w:rsidRPr="00F700EC">
        <w:rPr>
          <w:rFonts w:asciiTheme="minorHAnsi" w:hAnsiTheme="minorHAnsi" w:cstheme="minorHAnsi"/>
          <w:sz w:val="22"/>
          <w:szCs w:val="22"/>
          <w:vertAlign w:val="superscript"/>
        </w:rPr>
        <w:t>5</w:t>
      </w:r>
      <w:r w:rsidRPr="00F700EC">
        <w:rPr>
          <w:rFonts w:asciiTheme="minorHAnsi" w:hAnsiTheme="minorHAnsi" w:cstheme="minorHAnsi"/>
          <w:sz w:val="22"/>
          <w:szCs w:val="22"/>
        </w:rPr>
        <w:t xml:space="preserve"> et au Canada (10,5 % au cours du deuxième trimestre 2023)</w:t>
      </w:r>
      <w:r w:rsidRPr="00F700EC">
        <w:rPr>
          <w:rFonts w:asciiTheme="minorHAnsi" w:hAnsiTheme="minorHAnsi" w:cstheme="minorHAnsi"/>
          <w:sz w:val="22"/>
          <w:szCs w:val="22"/>
          <w:vertAlign w:val="superscript"/>
        </w:rPr>
        <w:t>6</w:t>
      </w:r>
      <w:r w:rsidRPr="00F700EC">
        <w:rPr>
          <w:rFonts w:asciiTheme="minorHAnsi" w:hAnsiTheme="minorHAnsi" w:cstheme="minorHAnsi"/>
          <w:sz w:val="22"/>
          <w:szCs w:val="22"/>
        </w:rPr>
        <w:t xml:space="preserve"> montre que la transition vers les VE est bien engagée.</w:t>
      </w:r>
    </w:p>
    <w:p w14:paraId="662330BD" w14:textId="6F11BEE4" w:rsidR="00CC4F64" w:rsidRPr="00F700EC" w:rsidRDefault="00CC4F64" w:rsidP="00032724">
      <w:pPr>
        <w:pStyle w:val="NormalWeb"/>
        <w:jc w:val="center"/>
        <w:rPr>
          <w:rFonts w:asciiTheme="minorHAnsi" w:hAnsiTheme="minorHAnsi" w:cstheme="minorHAnsi"/>
          <w:b/>
          <w:bCs/>
          <w:sz w:val="22"/>
          <w:szCs w:val="22"/>
          <w:lang w:val="en-US"/>
        </w:rPr>
      </w:pPr>
      <w:r w:rsidRPr="00F700EC">
        <w:rPr>
          <w:rFonts w:asciiTheme="minorHAnsi" w:hAnsiTheme="minorHAnsi" w:cstheme="minorHAnsi"/>
          <w:noProof/>
          <w:sz w:val="22"/>
          <w:szCs w:val="22"/>
          <w:lang w:val="en-US"/>
          <w14:ligatures w14:val="standardContextual"/>
        </w:rPr>
        <w:drawing>
          <wp:inline distT="0" distB="0" distL="0" distR="0" wp14:anchorId="16D510D0" wp14:editId="0006291E">
            <wp:extent cx="4526280" cy="2846213"/>
            <wp:effectExtent l="0" t="0" r="0" b="0"/>
            <wp:docPr id="1394202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2822" name="Image 13942028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2110" cy="2849879"/>
                    </a:xfrm>
                    <a:prstGeom prst="rect">
                      <a:avLst/>
                    </a:prstGeom>
                  </pic:spPr>
                </pic:pic>
              </a:graphicData>
            </a:graphic>
          </wp:inline>
        </w:drawing>
      </w:r>
    </w:p>
    <w:p w14:paraId="3F4CE85D" w14:textId="77777777" w:rsidR="00F95C70" w:rsidRPr="00F700EC" w:rsidRDefault="00F95C70" w:rsidP="00F95C70">
      <w:pPr>
        <w:pStyle w:val="NormalWeb"/>
        <w:ind w:left="360"/>
        <w:jc w:val="both"/>
        <w:rPr>
          <w:rFonts w:asciiTheme="minorHAnsi" w:hAnsiTheme="minorHAnsi" w:cstheme="minorHAnsi"/>
          <w:b/>
          <w:bCs/>
          <w:sz w:val="22"/>
          <w:szCs w:val="22"/>
          <w:lang w:val="en-US"/>
        </w:rPr>
      </w:pPr>
    </w:p>
    <w:p w14:paraId="73D9F97A" w14:textId="596773A2" w:rsidR="00F95C70" w:rsidRPr="00F700EC" w:rsidRDefault="00F700EC" w:rsidP="00F95C70">
      <w:pPr>
        <w:pStyle w:val="NormalWeb"/>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4- </w:t>
      </w:r>
      <w:r w:rsidR="00F95C70" w:rsidRPr="00F700EC">
        <w:rPr>
          <w:rFonts w:asciiTheme="minorHAnsi" w:hAnsiTheme="minorHAnsi" w:cstheme="minorHAnsi"/>
          <w:b/>
          <w:bCs/>
          <w:sz w:val="22"/>
          <w:szCs w:val="22"/>
        </w:rPr>
        <w:t>Un allégement fiscal est différent d'une subvention</w:t>
      </w:r>
    </w:p>
    <w:p w14:paraId="0C44BCDA" w14:textId="082EEAFA" w:rsidR="00F95C70" w:rsidRPr="00F700EC" w:rsidRDefault="00F95C70" w:rsidP="00F95C70">
      <w:pPr>
        <w:pStyle w:val="NormalWeb"/>
        <w:ind w:left="360"/>
        <w:jc w:val="both"/>
        <w:rPr>
          <w:rFonts w:asciiTheme="minorHAnsi" w:hAnsiTheme="minorHAnsi" w:cstheme="minorHAnsi"/>
          <w:sz w:val="22"/>
          <w:szCs w:val="22"/>
        </w:rPr>
      </w:pPr>
      <w:r w:rsidRPr="00F700EC">
        <w:rPr>
          <w:rFonts w:asciiTheme="minorHAnsi" w:hAnsiTheme="minorHAnsi" w:cstheme="minorHAnsi"/>
          <w:sz w:val="22"/>
          <w:szCs w:val="22"/>
        </w:rPr>
        <w:t xml:space="preserve">MÉC est également surpris de constater que le DPB qualifie de "subvention" le soutien du gouvernement fédéral à l'usine de production de Volkswagen, car il ne s'agit PAS d'une subvention mais </w:t>
      </w:r>
      <w:r w:rsidR="00F700EC">
        <w:rPr>
          <w:rFonts w:asciiTheme="minorHAnsi" w:hAnsiTheme="minorHAnsi" w:cstheme="minorHAnsi"/>
          <w:sz w:val="22"/>
          <w:szCs w:val="22"/>
        </w:rPr>
        <w:t xml:space="preserve">plutôt </w:t>
      </w:r>
      <w:r w:rsidRPr="00F700EC">
        <w:rPr>
          <w:rFonts w:asciiTheme="minorHAnsi" w:hAnsiTheme="minorHAnsi" w:cstheme="minorHAnsi"/>
          <w:sz w:val="22"/>
          <w:szCs w:val="22"/>
        </w:rPr>
        <w:t>d'un allègement fiscal. Pour citer Brian Lilley du Toronto Sun</w:t>
      </w:r>
      <w:r w:rsidRPr="00F700EC">
        <w:rPr>
          <w:rFonts w:asciiTheme="minorHAnsi" w:hAnsiTheme="minorHAnsi" w:cstheme="minorHAnsi"/>
          <w:sz w:val="22"/>
          <w:szCs w:val="22"/>
          <w:vertAlign w:val="superscript"/>
        </w:rPr>
        <w:t>7</w:t>
      </w:r>
      <w:r w:rsidRPr="00F700EC">
        <w:rPr>
          <w:rFonts w:asciiTheme="minorHAnsi" w:hAnsiTheme="minorHAnsi" w:cstheme="minorHAnsi"/>
          <w:sz w:val="22"/>
          <w:szCs w:val="22"/>
        </w:rPr>
        <w:t xml:space="preserve"> </w:t>
      </w:r>
      <w:r w:rsidR="00F700EC">
        <w:rPr>
          <w:rFonts w:asciiTheme="minorHAnsi" w:hAnsiTheme="minorHAnsi" w:cstheme="minorHAnsi"/>
          <w:sz w:val="22"/>
          <w:szCs w:val="22"/>
        </w:rPr>
        <w:t>« </w:t>
      </w:r>
      <w:r w:rsidRPr="00F700EC">
        <w:rPr>
          <w:rFonts w:asciiTheme="minorHAnsi" w:hAnsiTheme="minorHAnsi" w:cstheme="minorHAnsi"/>
          <w:sz w:val="22"/>
          <w:szCs w:val="22"/>
        </w:rPr>
        <w:t>L'offre du gouvernement Trudeau à VW et à Stellantis est basée sur ce qui est décrit comme des crédits d'impôt à la production. Il ne s'agit pas d'une subvention, mais d'un allègement fiscal.</w:t>
      </w:r>
    </w:p>
    <w:p w14:paraId="440DB084" w14:textId="77777777" w:rsidR="00F95C70" w:rsidRPr="00F700EC" w:rsidRDefault="00F95C70" w:rsidP="00F95C70">
      <w:pPr>
        <w:pStyle w:val="NormalWeb"/>
        <w:ind w:left="360"/>
        <w:jc w:val="both"/>
        <w:rPr>
          <w:rFonts w:asciiTheme="minorHAnsi" w:hAnsiTheme="minorHAnsi" w:cstheme="minorHAnsi"/>
          <w:sz w:val="22"/>
          <w:szCs w:val="22"/>
        </w:rPr>
      </w:pPr>
      <w:r w:rsidRPr="00F700EC">
        <w:rPr>
          <w:rFonts w:asciiTheme="minorHAnsi" w:hAnsiTheme="minorHAnsi" w:cstheme="minorHAnsi"/>
          <w:sz w:val="22"/>
          <w:szCs w:val="22"/>
        </w:rPr>
        <w:t>Cela signifie que si vous ne produisez rien, vous ne bénéficiez pas de l'allègement fiscal.</w:t>
      </w:r>
    </w:p>
    <w:p w14:paraId="5C399011" w14:textId="77777777" w:rsidR="00F95C70" w:rsidRPr="00F700EC" w:rsidRDefault="00F95C70" w:rsidP="00F95C70">
      <w:pPr>
        <w:pStyle w:val="NormalWeb"/>
        <w:ind w:left="360"/>
        <w:jc w:val="both"/>
        <w:rPr>
          <w:rFonts w:asciiTheme="minorHAnsi" w:hAnsiTheme="minorHAnsi" w:cstheme="minorHAnsi"/>
          <w:sz w:val="22"/>
          <w:szCs w:val="22"/>
        </w:rPr>
      </w:pPr>
      <w:r w:rsidRPr="00F700EC">
        <w:rPr>
          <w:rFonts w:asciiTheme="minorHAnsi" w:hAnsiTheme="minorHAnsi" w:cstheme="minorHAnsi"/>
          <w:sz w:val="22"/>
          <w:szCs w:val="22"/>
        </w:rPr>
        <w:t>C'est de cela qu'il s'agit, d'un allègement fiscal, et non d'une subvention directe où le gouvernement fait un chèque à une entreprise qui garde l'argent quoi qu'il arrive. Il fut un temps où les gouvernements de ce pays fonctionnaient de la sorte et cela ne se passait souvent pas bien pour les personnes concernées, en particulier pour les contribuables.</w:t>
      </w:r>
    </w:p>
    <w:p w14:paraId="1DE9A41B" w14:textId="2B620F6E" w:rsidR="00F95C70" w:rsidRPr="00F700EC" w:rsidRDefault="00F95C70" w:rsidP="00F95C70">
      <w:pPr>
        <w:pStyle w:val="NormalWeb"/>
        <w:ind w:left="360"/>
        <w:jc w:val="both"/>
        <w:rPr>
          <w:rFonts w:asciiTheme="minorHAnsi" w:hAnsiTheme="minorHAnsi" w:cstheme="minorHAnsi"/>
          <w:sz w:val="22"/>
          <w:szCs w:val="22"/>
        </w:rPr>
      </w:pPr>
      <w:r w:rsidRPr="00F700EC">
        <w:rPr>
          <w:rFonts w:asciiTheme="minorHAnsi" w:hAnsiTheme="minorHAnsi" w:cstheme="minorHAnsi"/>
          <w:sz w:val="22"/>
          <w:szCs w:val="22"/>
        </w:rPr>
        <w:t>On peut être d'accord ou non avec cet allégement fiscal, mais il ne s'agit pas de donner de l'argent à une entreprise pour rien. Si elle ne produit rien, elle ne bénéficie pas de l'allégement fiscal; si elle fabrique des produits, elle bénéficie d'un allégement fiscal.</w:t>
      </w:r>
      <w:r w:rsidR="00F700EC">
        <w:rPr>
          <w:rFonts w:asciiTheme="minorHAnsi" w:hAnsiTheme="minorHAnsi" w:cstheme="minorHAnsi"/>
          <w:sz w:val="22"/>
          <w:szCs w:val="22"/>
        </w:rPr>
        <w:t> »</w:t>
      </w:r>
    </w:p>
    <w:p w14:paraId="7375815E" w14:textId="1584F2D8" w:rsidR="005439B3" w:rsidRDefault="005439B3" w:rsidP="00E814FE">
      <w:pPr>
        <w:pStyle w:val="NormalWeb"/>
        <w:rPr>
          <w:rFonts w:asciiTheme="minorHAnsi" w:hAnsiTheme="minorHAnsi" w:cstheme="minorHAnsi"/>
          <w:color w:val="191919"/>
          <w:sz w:val="22"/>
          <w:szCs w:val="22"/>
          <w:lang w:val="en-US"/>
        </w:rPr>
      </w:pPr>
    </w:p>
    <w:p w14:paraId="2CC34E91" w14:textId="77777777" w:rsidR="00E254F4" w:rsidRDefault="00E254F4" w:rsidP="00E814FE">
      <w:pPr>
        <w:pStyle w:val="NormalWeb"/>
        <w:rPr>
          <w:rFonts w:asciiTheme="minorHAnsi" w:hAnsiTheme="minorHAnsi" w:cstheme="minorHAnsi"/>
          <w:color w:val="191919"/>
          <w:sz w:val="22"/>
          <w:szCs w:val="22"/>
          <w:lang w:val="en-US"/>
        </w:rPr>
      </w:pPr>
    </w:p>
    <w:p w14:paraId="7D2433D5" w14:textId="77777777" w:rsidR="00E254F4" w:rsidRPr="00F700EC" w:rsidRDefault="00E254F4" w:rsidP="00E814FE">
      <w:pPr>
        <w:pStyle w:val="NormalWeb"/>
        <w:rPr>
          <w:rFonts w:asciiTheme="minorHAnsi" w:hAnsiTheme="minorHAnsi" w:cstheme="minorHAnsi"/>
          <w:color w:val="191919"/>
          <w:sz w:val="22"/>
          <w:szCs w:val="22"/>
          <w:lang w:val="en-US"/>
        </w:rPr>
      </w:pPr>
    </w:p>
    <w:p w14:paraId="67CE8403" w14:textId="4810856B" w:rsidR="00F95C70" w:rsidRPr="00F700EC" w:rsidRDefault="00F700EC" w:rsidP="00F700EC">
      <w:pPr>
        <w:pStyle w:val="NormalWeb"/>
        <w:jc w:val="both"/>
        <w:rPr>
          <w:rFonts w:asciiTheme="minorHAnsi" w:eastAsiaTheme="minorHAnsi" w:hAnsiTheme="minorHAnsi" w:cstheme="minorHAnsi"/>
          <w:b/>
          <w:bCs/>
          <w:kern w:val="2"/>
          <w:sz w:val="22"/>
          <w:szCs w:val="22"/>
          <w:lang w:eastAsia="en-US"/>
          <w14:ligatures w14:val="standardContextual"/>
        </w:rPr>
      </w:pPr>
      <w:r>
        <w:rPr>
          <w:rFonts w:asciiTheme="minorHAnsi" w:eastAsiaTheme="minorHAnsi" w:hAnsiTheme="minorHAnsi" w:cstheme="minorHAnsi"/>
          <w:b/>
          <w:bCs/>
          <w:kern w:val="2"/>
          <w:sz w:val="22"/>
          <w:szCs w:val="22"/>
          <w:lang w:eastAsia="en-US"/>
          <w14:ligatures w14:val="standardContextual"/>
        </w:rPr>
        <w:lastRenderedPageBreak/>
        <w:t>5</w:t>
      </w:r>
      <w:r w:rsidR="00F95C70" w:rsidRPr="00F700EC">
        <w:rPr>
          <w:rFonts w:asciiTheme="minorHAnsi" w:eastAsiaTheme="minorHAnsi" w:hAnsiTheme="minorHAnsi" w:cstheme="minorHAnsi"/>
          <w:b/>
          <w:bCs/>
          <w:kern w:val="2"/>
          <w:sz w:val="22"/>
          <w:szCs w:val="22"/>
          <w:lang w:eastAsia="en-US"/>
          <w14:ligatures w14:val="standardContextual"/>
        </w:rPr>
        <w:t>- Le soutien financier du Canada à l'industrie automobile est lié à l'IRA</w:t>
      </w:r>
    </w:p>
    <w:p w14:paraId="78AB65B7" w14:textId="53D7A761" w:rsidR="00F95C70" w:rsidRDefault="00F700EC" w:rsidP="00F700EC">
      <w:pPr>
        <w:pStyle w:val="NormalWeb"/>
        <w:jc w:val="both"/>
        <w:rPr>
          <w:rFonts w:asciiTheme="minorHAnsi" w:eastAsiaTheme="minorHAnsi" w:hAnsiTheme="minorHAnsi" w:cstheme="minorHAnsi"/>
          <w:kern w:val="2"/>
          <w:sz w:val="22"/>
          <w:szCs w:val="22"/>
          <w:lang w:eastAsia="en-US"/>
          <w14:ligatures w14:val="standardContextual"/>
        </w:rPr>
      </w:pPr>
      <w:r>
        <w:rPr>
          <w:rFonts w:asciiTheme="minorHAnsi" w:eastAsiaTheme="minorHAnsi" w:hAnsiTheme="minorHAnsi" w:cstheme="minorHAnsi"/>
          <w:kern w:val="2"/>
          <w:sz w:val="22"/>
          <w:szCs w:val="22"/>
          <w:lang w:eastAsia="en-US"/>
          <w14:ligatures w14:val="standardContextual"/>
        </w:rPr>
        <w:t>MÉC</w:t>
      </w:r>
      <w:r w:rsidR="00F95C70" w:rsidRPr="00F700EC">
        <w:rPr>
          <w:rFonts w:asciiTheme="minorHAnsi" w:eastAsiaTheme="minorHAnsi" w:hAnsiTheme="minorHAnsi" w:cstheme="minorHAnsi"/>
          <w:kern w:val="2"/>
          <w:sz w:val="22"/>
          <w:szCs w:val="22"/>
          <w:lang w:eastAsia="en-US"/>
          <w14:ligatures w14:val="standardContextual"/>
        </w:rPr>
        <w:t xml:space="preserve"> est également surpris de constater que le rapport du PBO ne mentionne pas le fait que le soutien financier du Canada à la fabrication de VE au Canada est une réponse directe à la Loi</w:t>
      </w:r>
      <w:r>
        <w:rPr>
          <w:rFonts w:asciiTheme="minorHAnsi" w:eastAsiaTheme="minorHAnsi" w:hAnsiTheme="minorHAnsi" w:cstheme="minorHAnsi"/>
          <w:kern w:val="2"/>
          <w:sz w:val="22"/>
          <w:szCs w:val="22"/>
          <w:lang w:eastAsia="en-US"/>
          <w14:ligatures w14:val="standardContextual"/>
        </w:rPr>
        <w:t xml:space="preserve"> américaine</w:t>
      </w:r>
      <w:r w:rsidR="00F95C70" w:rsidRPr="00F700EC">
        <w:rPr>
          <w:rFonts w:asciiTheme="minorHAnsi" w:eastAsiaTheme="minorHAnsi" w:hAnsiTheme="minorHAnsi" w:cstheme="minorHAnsi"/>
          <w:kern w:val="2"/>
          <w:sz w:val="22"/>
          <w:szCs w:val="22"/>
          <w:lang w:eastAsia="en-US"/>
          <w14:ligatures w14:val="standardContextual"/>
        </w:rPr>
        <w:t xml:space="preserve"> sur la réduction de l'inflation ET que le gouvernement canadien a clairement indiqué à plusieurs reprises que son niveau de soutien serait directement lié au niveau de soutien des États-Unis à la fabrication de VE. Si le soutien américain devait diminuer ou disparaître pour quelque raison que ce soit d'ici à 2032, le soutien financier canadien diminuerait ou disparaîtrait en conséquence.</w:t>
      </w:r>
    </w:p>
    <w:p w14:paraId="4FB66C46" w14:textId="712CBD0F" w:rsidR="00E254F4" w:rsidRPr="00F700EC" w:rsidRDefault="00E254F4" w:rsidP="00F700EC">
      <w:pPr>
        <w:pStyle w:val="NormalWeb"/>
        <w:jc w:val="both"/>
        <w:rPr>
          <w:rFonts w:asciiTheme="minorHAnsi" w:eastAsiaTheme="minorHAnsi" w:hAnsiTheme="minorHAnsi" w:cstheme="minorHAnsi"/>
          <w:kern w:val="2"/>
          <w:sz w:val="22"/>
          <w:szCs w:val="22"/>
          <w:lang w:eastAsia="en-US"/>
          <w14:ligatures w14:val="standardContextual"/>
        </w:rPr>
      </w:pPr>
      <w:r>
        <w:rPr>
          <w:rFonts w:asciiTheme="minorHAnsi" w:eastAsiaTheme="minorHAnsi" w:hAnsiTheme="minorHAnsi" w:cstheme="minorHAnsi"/>
          <w:noProof/>
          <w:kern w:val="2"/>
          <w:sz w:val="22"/>
          <w:szCs w:val="22"/>
          <w:lang w:eastAsia="en-US"/>
          <w14:ligatures w14:val="standardContextual"/>
        </w:rPr>
        <w:drawing>
          <wp:inline distT="0" distB="0" distL="0" distR="0" wp14:anchorId="5C5DE91A" wp14:editId="6F3C8503">
            <wp:extent cx="5486400" cy="2602230"/>
            <wp:effectExtent l="0" t="0" r="0" b="1270"/>
            <wp:docPr id="20701978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97877" name="Image 20701978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602230"/>
                    </a:xfrm>
                    <a:prstGeom prst="rect">
                      <a:avLst/>
                    </a:prstGeom>
                  </pic:spPr>
                </pic:pic>
              </a:graphicData>
            </a:graphic>
          </wp:inline>
        </w:drawing>
      </w:r>
    </w:p>
    <w:p w14:paraId="626A1CA2" w14:textId="2F717AA5" w:rsidR="00F95C70" w:rsidRPr="00F700EC" w:rsidRDefault="00F700EC" w:rsidP="00F95C70">
      <w:pPr>
        <w:pStyle w:val="NormalWeb"/>
        <w:rPr>
          <w:rFonts w:asciiTheme="minorHAnsi" w:eastAsiaTheme="minorHAnsi" w:hAnsiTheme="minorHAnsi" w:cstheme="minorHAnsi"/>
          <w:b/>
          <w:bCs/>
          <w:kern w:val="2"/>
          <w:sz w:val="22"/>
          <w:szCs w:val="22"/>
          <w:lang w:eastAsia="en-US"/>
          <w14:ligatures w14:val="standardContextual"/>
        </w:rPr>
      </w:pPr>
      <w:r>
        <w:rPr>
          <w:rFonts w:asciiTheme="minorHAnsi" w:eastAsiaTheme="minorHAnsi" w:hAnsiTheme="minorHAnsi" w:cstheme="minorHAnsi"/>
          <w:b/>
          <w:bCs/>
          <w:kern w:val="2"/>
          <w:sz w:val="22"/>
          <w:szCs w:val="22"/>
          <w:lang w:eastAsia="en-US"/>
          <w14:ligatures w14:val="standardContextual"/>
        </w:rPr>
        <w:t>6</w:t>
      </w:r>
      <w:r w:rsidR="00F95C70" w:rsidRPr="00F700EC">
        <w:rPr>
          <w:rFonts w:asciiTheme="minorHAnsi" w:eastAsiaTheme="minorHAnsi" w:hAnsiTheme="minorHAnsi" w:cstheme="minorHAnsi"/>
          <w:b/>
          <w:bCs/>
          <w:kern w:val="2"/>
          <w:sz w:val="22"/>
          <w:szCs w:val="22"/>
          <w:lang w:eastAsia="en-US"/>
          <w14:ligatures w14:val="standardContextual"/>
        </w:rPr>
        <w:t>- L'avenir de l'industrie automobile canadienne est en jeu</w:t>
      </w:r>
    </w:p>
    <w:p w14:paraId="3095627F" w14:textId="2720A407" w:rsidR="00F700EC" w:rsidRDefault="00F95C70" w:rsidP="00F700EC">
      <w:pPr>
        <w:jc w:val="both"/>
        <w:rPr>
          <w:rFonts w:cstheme="minorHAnsi"/>
          <w:lang w:val="fr-CA"/>
        </w:rPr>
      </w:pPr>
      <w:r w:rsidRPr="00F700EC">
        <w:rPr>
          <w:rFonts w:cstheme="minorHAnsi"/>
          <w:lang w:val="fr-CA"/>
        </w:rPr>
        <w:t>Étant donné que le monde évolue actuellement à un rythme très rapide vers la production de VE, tous les acteurs de l'industrie savent que si le gouvernement fédéral avait décidé de ne rien faire pour aider le secteur automobile canadien à passer à la fabrication de VE, le risque de ne plus avoir de secteur automobile du tout d'ici 2035 aurait été écrasant et sa disparition aurait été dévastatrice. Étant donné que le secteur automobile canadien joue un rôle clé dans l'économie du pays, avec une contribution de 12,5 milliards de dollars au PIB en 2020</w:t>
      </w:r>
      <w:r w:rsidR="00F700EC">
        <w:rPr>
          <w:rFonts w:cstheme="minorHAnsi"/>
          <w:vertAlign w:val="superscript"/>
          <w:lang w:val="fr-CA"/>
        </w:rPr>
        <w:t>8</w:t>
      </w:r>
      <w:r w:rsidRPr="00F700EC">
        <w:rPr>
          <w:rFonts w:cstheme="minorHAnsi"/>
          <w:lang w:val="fr-CA"/>
        </w:rPr>
        <w:t>, nous soutenons pleinement le gouvernement fédéral dans sa volonté d'accélérer la transition vers la fabrication de VE.</w:t>
      </w:r>
    </w:p>
    <w:p w14:paraId="24FC41EA" w14:textId="68485EAE" w:rsidR="00F700EC" w:rsidRPr="00E72EB2" w:rsidRDefault="00F700EC" w:rsidP="00E254F4">
      <w:pPr>
        <w:pStyle w:val="NormalWeb"/>
        <w:jc w:val="both"/>
        <w:rPr>
          <w:rFonts w:asciiTheme="minorHAnsi" w:hAnsiTheme="minorHAnsi" w:cstheme="minorHAnsi"/>
          <w:i/>
          <w:iCs/>
          <w:sz w:val="22"/>
          <w:szCs w:val="22"/>
        </w:rPr>
      </w:pPr>
      <w:r w:rsidRPr="00E72EB2">
        <w:rPr>
          <w:rFonts w:asciiTheme="minorHAnsi" w:hAnsiTheme="minorHAnsi" w:cstheme="minorHAnsi"/>
          <w:i/>
          <w:iCs/>
          <w:sz w:val="22"/>
          <w:szCs w:val="22"/>
        </w:rPr>
        <w:t xml:space="preserve">"Lorsque j'étais étudiant, j'ai travaillé dans une usine d'assemblage de GM à Sainte-Thérèse, au Québec. L'usine a été fermée en 1996 pour être remplacée par un centre commercial. Il est assez juste de dire que les salaires moyens dans une usine d'assemblage d'automobiles ou de batteries de véhicules électriques sont plus élevés que les salaires moyens dans un centre commercial. Au-delà du nombre d'emplois créés dans une région, il s'agit aussi d'emplois suffisamment bien rémunérés pour permettre </w:t>
      </w:r>
      <w:r>
        <w:rPr>
          <w:rFonts w:asciiTheme="minorHAnsi" w:hAnsiTheme="minorHAnsi" w:cstheme="minorHAnsi"/>
          <w:i/>
          <w:iCs/>
          <w:sz w:val="22"/>
          <w:szCs w:val="22"/>
        </w:rPr>
        <w:t xml:space="preserve">aux travailleurs et travailleuses </w:t>
      </w:r>
      <w:r w:rsidRPr="00E72EB2">
        <w:rPr>
          <w:rFonts w:asciiTheme="minorHAnsi" w:hAnsiTheme="minorHAnsi" w:cstheme="minorHAnsi"/>
          <w:i/>
          <w:iCs/>
          <w:sz w:val="22"/>
          <w:szCs w:val="22"/>
        </w:rPr>
        <w:t>de vivre décemment." - Daniel Breton</w:t>
      </w:r>
    </w:p>
    <w:p w14:paraId="2FE2D5C8" w14:textId="77777777" w:rsidR="00F700EC" w:rsidRDefault="00F700EC" w:rsidP="00F700EC">
      <w:pPr>
        <w:jc w:val="both"/>
        <w:rPr>
          <w:rFonts w:cstheme="minorHAnsi"/>
          <w:lang w:val="fr-CA"/>
        </w:rPr>
      </w:pPr>
    </w:p>
    <w:p w14:paraId="74519D3A" w14:textId="77777777" w:rsidR="00C16B4F" w:rsidRPr="00F700EC" w:rsidRDefault="00C16B4F" w:rsidP="00CF3A84">
      <w:pPr>
        <w:rPr>
          <w:lang w:val="fr-CA"/>
        </w:rPr>
      </w:pPr>
    </w:p>
    <w:p w14:paraId="392819C6" w14:textId="2F088135" w:rsidR="007F7BF6" w:rsidRPr="00C16B4F" w:rsidRDefault="007F7BF6" w:rsidP="00CF3A84">
      <w:pPr>
        <w:rPr>
          <w:sz w:val="32"/>
          <w:szCs w:val="32"/>
          <w:lang w:val="fr-CA"/>
        </w:rPr>
      </w:pPr>
      <w:r w:rsidRPr="00C16B4F">
        <w:rPr>
          <w:sz w:val="32"/>
          <w:szCs w:val="32"/>
          <w:lang w:val="fr-CA"/>
        </w:rPr>
        <w:lastRenderedPageBreak/>
        <w:t>Source</w:t>
      </w:r>
      <w:r w:rsidR="00C6485F" w:rsidRPr="00C16B4F">
        <w:rPr>
          <w:sz w:val="32"/>
          <w:szCs w:val="32"/>
          <w:lang w:val="fr-CA"/>
        </w:rPr>
        <w:t>s</w:t>
      </w:r>
      <w:r w:rsidRPr="00C16B4F">
        <w:rPr>
          <w:sz w:val="32"/>
          <w:szCs w:val="32"/>
          <w:lang w:val="fr-CA"/>
        </w:rPr>
        <w:t>:</w:t>
      </w:r>
    </w:p>
    <w:p w14:paraId="6BC6E3AD" w14:textId="77777777" w:rsidR="007F7BF6" w:rsidRPr="00CE6CC2" w:rsidRDefault="007F7BF6" w:rsidP="00CF3A84">
      <w:pPr>
        <w:rPr>
          <w:lang w:val="fr-CA"/>
        </w:rPr>
      </w:pPr>
    </w:p>
    <w:p w14:paraId="37FD44A6" w14:textId="52719DFD" w:rsidR="00CF3A84" w:rsidRPr="00CE6CC2" w:rsidRDefault="00CF3A84" w:rsidP="00CF3A84">
      <w:pPr>
        <w:rPr>
          <w:lang w:val="fr-CA"/>
        </w:rPr>
      </w:pPr>
      <w:r w:rsidRPr="00CE6CC2">
        <w:rPr>
          <w:lang w:val="fr-CA"/>
        </w:rPr>
        <w:t xml:space="preserve">1: </w:t>
      </w:r>
      <w:hyperlink r:id="rId10" w:history="1">
        <w:r w:rsidRPr="00CE6CC2">
          <w:rPr>
            <w:rStyle w:val="Hyperlink"/>
            <w:lang w:val="fr-CA"/>
          </w:rPr>
          <w:t>https://distribution-a617274656661637473.pbo-dpb.ca/243471bcfade3decfc9a60ed9050b6438ccf5dca3db091709abb68793915ddeb</w:t>
        </w:r>
      </w:hyperlink>
    </w:p>
    <w:p w14:paraId="0D012CBA" w14:textId="2C7B8C0E" w:rsidR="007F7BF6" w:rsidRPr="00CE6CC2" w:rsidRDefault="007F7BF6" w:rsidP="00CF3A84">
      <w:pPr>
        <w:rPr>
          <w:lang w:val="fr-CA"/>
        </w:rPr>
      </w:pPr>
      <w:r w:rsidRPr="00CE6CC2">
        <w:rPr>
          <w:lang w:val="fr-CA"/>
        </w:rPr>
        <w:t xml:space="preserve">2: </w:t>
      </w:r>
      <w:hyperlink r:id="rId11" w:history="1">
        <w:r w:rsidRPr="00CE6CC2">
          <w:rPr>
            <w:rStyle w:val="Hyperlink"/>
            <w:lang w:val="fr-CA"/>
          </w:rPr>
          <w:t>https://www.reuters.com/technology/exclusive-automakers-double-spending-evs-batteries-12-trillion-by-2030-2022-10-</w:t>
        </w:r>
      </w:hyperlink>
    </w:p>
    <w:p w14:paraId="295C9A61" w14:textId="3C0A2CC0" w:rsidR="00CF3A84" w:rsidRPr="00CE6CC2" w:rsidRDefault="007F7BF6" w:rsidP="00CF3A84">
      <w:pPr>
        <w:rPr>
          <w:lang w:val="fr-CA"/>
        </w:rPr>
      </w:pPr>
      <w:r w:rsidRPr="00CE6CC2">
        <w:rPr>
          <w:lang w:val="fr-CA"/>
        </w:rPr>
        <w:t>3</w:t>
      </w:r>
      <w:r w:rsidR="00CF3A84" w:rsidRPr="00CE6CC2">
        <w:rPr>
          <w:lang w:val="fr-CA"/>
        </w:rPr>
        <w:t xml:space="preserve">: </w:t>
      </w:r>
      <w:hyperlink r:id="rId12" w:history="1">
        <w:r w:rsidR="00E20F2B" w:rsidRPr="00CE6CC2">
          <w:rPr>
            <w:rStyle w:val="Hyperlink"/>
            <w:lang w:val="fr-CA"/>
          </w:rPr>
          <w:t>https://www.canada.ca/en/environment-climate-change/news/2022/12/proposed-regulated-sales-targets-for-zero-emission-vehicles.html</w:t>
        </w:r>
      </w:hyperlink>
    </w:p>
    <w:p w14:paraId="0EB950B5" w14:textId="389E6AAF" w:rsidR="00E20F2B" w:rsidRPr="00CE6CC2" w:rsidRDefault="00D22E40" w:rsidP="00CF3A84">
      <w:pPr>
        <w:rPr>
          <w:lang w:val="fr-CA"/>
        </w:rPr>
      </w:pPr>
      <w:r w:rsidRPr="00CE6CC2">
        <w:rPr>
          <w:lang w:val="fr-CA"/>
        </w:rPr>
        <w:t>4</w:t>
      </w:r>
      <w:r w:rsidR="00E20F2B" w:rsidRPr="00CE6CC2">
        <w:rPr>
          <w:lang w:val="fr-CA"/>
        </w:rPr>
        <w:t xml:space="preserve">: </w:t>
      </w:r>
      <w:hyperlink r:id="rId13" w:history="1">
        <w:r w:rsidR="00E20F2B" w:rsidRPr="00CE6CC2">
          <w:rPr>
            <w:rStyle w:val="Hyperlink"/>
            <w:lang w:val="fr-CA"/>
          </w:rPr>
          <w:t>https://www.epa.gov/newsreleases/biden-harris-administration-proposes-strongest-ever-pollution-standards-cars-and</w:t>
        </w:r>
      </w:hyperlink>
    </w:p>
    <w:p w14:paraId="6CB47463" w14:textId="429322E3" w:rsidR="00CC4F64" w:rsidRPr="00CE6CC2" w:rsidRDefault="00D22E40" w:rsidP="00CF3A84">
      <w:pPr>
        <w:rPr>
          <w:lang w:val="fr-CA"/>
        </w:rPr>
      </w:pPr>
      <w:r w:rsidRPr="00CE6CC2">
        <w:rPr>
          <w:lang w:val="fr-CA"/>
        </w:rPr>
        <w:t>5</w:t>
      </w:r>
      <w:r w:rsidR="00CC4F64" w:rsidRPr="00CE6CC2">
        <w:rPr>
          <w:lang w:val="fr-CA"/>
        </w:rPr>
        <w:t xml:space="preserve">: </w:t>
      </w:r>
      <w:hyperlink r:id="rId14" w:history="1">
        <w:r w:rsidR="00CC4F64" w:rsidRPr="00CE6CC2">
          <w:rPr>
            <w:rStyle w:val="Hyperlink"/>
            <w:lang w:val="fr-CA"/>
          </w:rPr>
          <w:t>https://www.atlasevhub.com/weekly-digest/for-every-10-light-duty-vehicles-sold-in-june-one-was-an-ev/</w:t>
        </w:r>
      </w:hyperlink>
    </w:p>
    <w:p w14:paraId="7F5B99C5" w14:textId="35DAC12E" w:rsidR="00CC4F64" w:rsidRPr="00CE6CC2" w:rsidRDefault="00D22E40" w:rsidP="00CF3A84">
      <w:pPr>
        <w:rPr>
          <w:lang w:val="fr-CA"/>
        </w:rPr>
      </w:pPr>
      <w:r w:rsidRPr="00CE6CC2">
        <w:rPr>
          <w:lang w:val="fr-CA"/>
        </w:rPr>
        <w:t>6</w:t>
      </w:r>
      <w:r w:rsidR="00CC4F64" w:rsidRPr="00CE6CC2">
        <w:rPr>
          <w:lang w:val="fr-CA"/>
        </w:rPr>
        <w:t xml:space="preserve">: </w:t>
      </w:r>
      <w:hyperlink r:id="rId15" w:history="1">
        <w:r w:rsidR="00CC4F64" w:rsidRPr="00CE6CC2">
          <w:rPr>
            <w:rStyle w:val="Hyperlink"/>
            <w:lang w:val="fr-CA"/>
          </w:rPr>
          <w:t>https://www.spglobal.com/mobility/en/research-analysis/automotive-insights-q2-2023-canadian-ev-information-and-analys.html</w:t>
        </w:r>
      </w:hyperlink>
    </w:p>
    <w:p w14:paraId="24176C0F" w14:textId="4A524E22" w:rsidR="00D22E40" w:rsidRPr="00CE6CC2" w:rsidRDefault="00D22E40" w:rsidP="00CF3A84">
      <w:pPr>
        <w:rPr>
          <w:lang w:val="fr-CA"/>
        </w:rPr>
      </w:pPr>
      <w:r w:rsidRPr="00CE6CC2">
        <w:rPr>
          <w:lang w:val="fr-CA"/>
        </w:rPr>
        <w:t xml:space="preserve">7: </w:t>
      </w:r>
      <w:hyperlink r:id="rId16" w:history="1">
        <w:r w:rsidRPr="00CE6CC2">
          <w:rPr>
            <w:rStyle w:val="Hyperlink"/>
            <w:lang w:val="fr-CA"/>
          </w:rPr>
          <w:t>https://torontosun.com/opinion/columnists/no-justin-trudeau-didnt-give-vw-and-stellantis-billions</w:t>
        </w:r>
      </w:hyperlink>
    </w:p>
    <w:p w14:paraId="1404D032" w14:textId="7FA81DDF" w:rsidR="007F7BF6" w:rsidRDefault="007F7BF6" w:rsidP="00CF3A84">
      <w:pPr>
        <w:rPr>
          <w:rStyle w:val="Hyperlink"/>
        </w:rPr>
      </w:pPr>
      <w:r w:rsidRPr="00CE6CC2">
        <w:rPr>
          <w:lang w:val="fr-CA"/>
        </w:rPr>
        <w:t xml:space="preserve">8: </w:t>
      </w:r>
      <w:hyperlink r:id="rId17" w:history="1">
        <w:r w:rsidRPr="00CE6CC2">
          <w:rPr>
            <w:rStyle w:val="Hyperlink"/>
            <w:lang w:val="fr-CA"/>
          </w:rPr>
          <w:t>https://ised-isde.canada.ca/site/canadian-automotive-industry/en#</w:t>
        </w:r>
      </w:hyperlink>
    </w:p>
    <w:p w14:paraId="792D12A1" w14:textId="77777777" w:rsidR="007F7BF6" w:rsidRPr="00CE6CC2" w:rsidRDefault="007F7BF6" w:rsidP="00CF3A84"/>
    <w:p w14:paraId="235D2E03" w14:textId="77777777" w:rsidR="00D22E40" w:rsidRPr="00CE6CC2" w:rsidRDefault="00D22E40" w:rsidP="00CF3A84"/>
    <w:p w14:paraId="539EE4AE" w14:textId="77777777" w:rsidR="00CC4F64" w:rsidRPr="00CE6CC2" w:rsidRDefault="00CC4F64" w:rsidP="00CF3A84"/>
    <w:p w14:paraId="0FCA0DAC" w14:textId="77777777" w:rsidR="00E20F2B" w:rsidRPr="00CE6CC2" w:rsidRDefault="00E20F2B" w:rsidP="00CF3A84"/>
    <w:p w14:paraId="74C96194" w14:textId="77777777" w:rsidR="00CF3A84" w:rsidRPr="00CE6CC2" w:rsidRDefault="00CF3A84" w:rsidP="00E9295B">
      <w:pPr>
        <w:jc w:val="both"/>
      </w:pPr>
    </w:p>
    <w:sectPr w:rsidR="00CF3A84" w:rsidRPr="00CE6CC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BB4"/>
    <w:multiLevelType w:val="hybridMultilevel"/>
    <w:tmpl w:val="E4145496"/>
    <w:lvl w:ilvl="0" w:tplc="D7BE41C0">
      <w:start w:val="2"/>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1A528E"/>
    <w:multiLevelType w:val="multilevel"/>
    <w:tmpl w:val="9A64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58027C"/>
    <w:multiLevelType w:val="hybridMultilevel"/>
    <w:tmpl w:val="EB502370"/>
    <w:lvl w:ilvl="0" w:tplc="EF4CCE9A">
      <w:start w:val="1"/>
      <w:numFmt w:val="bullet"/>
      <w:lvlText w:val="•"/>
      <w:lvlJc w:val="left"/>
      <w:pPr>
        <w:tabs>
          <w:tab w:val="num" w:pos="720"/>
        </w:tabs>
        <w:ind w:left="720" w:hanging="360"/>
      </w:pPr>
      <w:rPr>
        <w:rFonts w:ascii="Arial" w:hAnsi="Arial" w:hint="default"/>
      </w:rPr>
    </w:lvl>
    <w:lvl w:ilvl="1" w:tplc="8850F50A" w:tentative="1">
      <w:start w:val="1"/>
      <w:numFmt w:val="bullet"/>
      <w:lvlText w:val="•"/>
      <w:lvlJc w:val="left"/>
      <w:pPr>
        <w:tabs>
          <w:tab w:val="num" w:pos="1440"/>
        </w:tabs>
        <w:ind w:left="1440" w:hanging="360"/>
      </w:pPr>
      <w:rPr>
        <w:rFonts w:ascii="Arial" w:hAnsi="Arial" w:hint="default"/>
      </w:rPr>
    </w:lvl>
    <w:lvl w:ilvl="2" w:tplc="0032C64E" w:tentative="1">
      <w:start w:val="1"/>
      <w:numFmt w:val="bullet"/>
      <w:lvlText w:val="•"/>
      <w:lvlJc w:val="left"/>
      <w:pPr>
        <w:tabs>
          <w:tab w:val="num" w:pos="2160"/>
        </w:tabs>
        <w:ind w:left="2160" w:hanging="360"/>
      </w:pPr>
      <w:rPr>
        <w:rFonts w:ascii="Arial" w:hAnsi="Arial" w:hint="default"/>
      </w:rPr>
    </w:lvl>
    <w:lvl w:ilvl="3" w:tplc="1B46A4C2" w:tentative="1">
      <w:start w:val="1"/>
      <w:numFmt w:val="bullet"/>
      <w:lvlText w:val="•"/>
      <w:lvlJc w:val="left"/>
      <w:pPr>
        <w:tabs>
          <w:tab w:val="num" w:pos="2880"/>
        </w:tabs>
        <w:ind w:left="2880" w:hanging="360"/>
      </w:pPr>
      <w:rPr>
        <w:rFonts w:ascii="Arial" w:hAnsi="Arial" w:hint="default"/>
      </w:rPr>
    </w:lvl>
    <w:lvl w:ilvl="4" w:tplc="101A1AFA" w:tentative="1">
      <w:start w:val="1"/>
      <w:numFmt w:val="bullet"/>
      <w:lvlText w:val="•"/>
      <w:lvlJc w:val="left"/>
      <w:pPr>
        <w:tabs>
          <w:tab w:val="num" w:pos="3600"/>
        </w:tabs>
        <w:ind w:left="3600" w:hanging="360"/>
      </w:pPr>
      <w:rPr>
        <w:rFonts w:ascii="Arial" w:hAnsi="Arial" w:hint="default"/>
      </w:rPr>
    </w:lvl>
    <w:lvl w:ilvl="5" w:tplc="6A3CFB04" w:tentative="1">
      <w:start w:val="1"/>
      <w:numFmt w:val="bullet"/>
      <w:lvlText w:val="•"/>
      <w:lvlJc w:val="left"/>
      <w:pPr>
        <w:tabs>
          <w:tab w:val="num" w:pos="4320"/>
        </w:tabs>
        <w:ind w:left="4320" w:hanging="360"/>
      </w:pPr>
      <w:rPr>
        <w:rFonts w:ascii="Arial" w:hAnsi="Arial" w:hint="default"/>
      </w:rPr>
    </w:lvl>
    <w:lvl w:ilvl="6" w:tplc="7862DCF4" w:tentative="1">
      <w:start w:val="1"/>
      <w:numFmt w:val="bullet"/>
      <w:lvlText w:val="•"/>
      <w:lvlJc w:val="left"/>
      <w:pPr>
        <w:tabs>
          <w:tab w:val="num" w:pos="5040"/>
        </w:tabs>
        <w:ind w:left="5040" w:hanging="360"/>
      </w:pPr>
      <w:rPr>
        <w:rFonts w:ascii="Arial" w:hAnsi="Arial" w:hint="default"/>
      </w:rPr>
    </w:lvl>
    <w:lvl w:ilvl="7" w:tplc="0CD21DB0" w:tentative="1">
      <w:start w:val="1"/>
      <w:numFmt w:val="bullet"/>
      <w:lvlText w:val="•"/>
      <w:lvlJc w:val="left"/>
      <w:pPr>
        <w:tabs>
          <w:tab w:val="num" w:pos="5760"/>
        </w:tabs>
        <w:ind w:left="5760" w:hanging="360"/>
      </w:pPr>
      <w:rPr>
        <w:rFonts w:ascii="Arial" w:hAnsi="Arial" w:hint="default"/>
      </w:rPr>
    </w:lvl>
    <w:lvl w:ilvl="8" w:tplc="71C2A5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633842"/>
    <w:multiLevelType w:val="hybridMultilevel"/>
    <w:tmpl w:val="6944E51A"/>
    <w:lvl w:ilvl="0" w:tplc="E142434E">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6F12077"/>
    <w:multiLevelType w:val="hybridMultilevel"/>
    <w:tmpl w:val="CF2A328A"/>
    <w:lvl w:ilvl="0" w:tplc="5298188A">
      <w:start w:val="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E24E01"/>
    <w:multiLevelType w:val="multilevel"/>
    <w:tmpl w:val="8146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DC4AE8"/>
    <w:multiLevelType w:val="hybridMultilevel"/>
    <w:tmpl w:val="58D440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4F65DB"/>
    <w:multiLevelType w:val="hybridMultilevel"/>
    <w:tmpl w:val="58D440A2"/>
    <w:lvl w:ilvl="0" w:tplc="BB2035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98F072D"/>
    <w:multiLevelType w:val="hybridMultilevel"/>
    <w:tmpl w:val="06BCDD54"/>
    <w:lvl w:ilvl="0" w:tplc="7A9AD2EA">
      <w:start w:val="1"/>
      <w:numFmt w:val="bullet"/>
      <w:lvlText w:val="•"/>
      <w:lvlJc w:val="left"/>
      <w:pPr>
        <w:tabs>
          <w:tab w:val="num" w:pos="720"/>
        </w:tabs>
        <w:ind w:left="720" w:hanging="360"/>
      </w:pPr>
      <w:rPr>
        <w:rFonts w:ascii="Arial" w:hAnsi="Arial" w:hint="default"/>
      </w:rPr>
    </w:lvl>
    <w:lvl w:ilvl="1" w:tplc="E0BE67D4" w:tentative="1">
      <w:start w:val="1"/>
      <w:numFmt w:val="bullet"/>
      <w:lvlText w:val="•"/>
      <w:lvlJc w:val="left"/>
      <w:pPr>
        <w:tabs>
          <w:tab w:val="num" w:pos="1440"/>
        </w:tabs>
        <w:ind w:left="1440" w:hanging="360"/>
      </w:pPr>
      <w:rPr>
        <w:rFonts w:ascii="Arial" w:hAnsi="Arial" w:hint="default"/>
      </w:rPr>
    </w:lvl>
    <w:lvl w:ilvl="2" w:tplc="C008939C" w:tentative="1">
      <w:start w:val="1"/>
      <w:numFmt w:val="bullet"/>
      <w:lvlText w:val="•"/>
      <w:lvlJc w:val="left"/>
      <w:pPr>
        <w:tabs>
          <w:tab w:val="num" w:pos="2160"/>
        </w:tabs>
        <w:ind w:left="2160" w:hanging="360"/>
      </w:pPr>
      <w:rPr>
        <w:rFonts w:ascii="Arial" w:hAnsi="Arial" w:hint="default"/>
      </w:rPr>
    </w:lvl>
    <w:lvl w:ilvl="3" w:tplc="4950E4D8" w:tentative="1">
      <w:start w:val="1"/>
      <w:numFmt w:val="bullet"/>
      <w:lvlText w:val="•"/>
      <w:lvlJc w:val="left"/>
      <w:pPr>
        <w:tabs>
          <w:tab w:val="num" w:pos="2880"/>
        </w:tabs>
        <w:ind w:left="2880" w:hanging="360"/>
      </w:pPr>
      <w:rPr>
        <w:rFonts w:ascii="Arial" w:hAnsi="Arial" w:hint="default"/>
      </w:rPr>
    </w:lvl>
    <w:lvl w:ilvl="4" w:tplc="B2227468" w:tentative="1">
      <w:start w:val="1"/>
      <w:numFmt w:val="bullet"/>
      <w:lvlText w:val="•"/>
      <w:lvlJc w:val="left"/>
      <w:pPr>
        <w:tabs>
          <w:tab w:val="num" w:pos="3600"/>
        </w:tabs>
        <w:ind w:left="3600" w:hanging="360"/>
      </w:pPr>
      <w:rPr>
        <w:rFonts w:ascii="Arial" w:hAnsi="Arial" w:hint="default"/>
      </w:rPr>
    </w:lvl>
    <w:lvl w:ilvl="5" w:tplc="1E224252" w:tentative="1">
      <w:start w:val="1"/>
      <w:numFmt w:val="bullet"/>
      <w:lvlText w:val="•"/>
      <w:lvlJc w:val="left"/>
      <w:pPr>
        <w:tabs>
          <w:tab w:val="num" w:pos="4320"/>
        </w:tabs>
        <w:ind w:left="4320" w:hanging="360"/>
      </w:pPr>
      <w:rPr>
        <w:rFonts w:ascii="Arial" w:hAnsi="Arial" w:hint="default"/>
      </w:rPr>
    </w:lvl>
    <w:lvl w:ilvl="6" w:tplc="8FA42E5C" w:tentative="1">
      <w:start w:val="1"/>
      <w:numFmt w:val="bullet"/>
      <w:lvlText w:val="•"/>
      <w:lvlJc w:val="left"/>
      <w:pPr>
        <w:tabs>
          <w:tab w:val="num" w:pos="5040"/>
        </w:tabs>
        <w:ind w:left="5040" w:hanging="360"/>
      </w:pPr>
      <w:rPr>
        <w:rFonts w:ascii="Arial" w:hAnsi="Arial" w:hint="default"/>
      </w:rPr>
    </w:lvl>
    <w:lvl w:ilvl="7" w:tplc="DC9CF7D0" w:tentative="1">
      <w:start w:val="1"/>
      <w:numFmt w:val="bullet"/>
      <w:lvlText w:val="•"/>
      <w:lvlJc w:val="left"/>
      <w:pPr>
        <w:tabs>
          <w:tab w:val="num" w:pos="5760"/>
        </w:tabs>
        <w:ind w:left="5760" w:hanging="360"/>
      </w:pPr>
      <w:rPr>
        <w:rFonts w:ascii="Arial" w:hAnsi="Arial" w:hint="default"/>
      </w:rPr>
    </w:lvl>
    <w:lvl w:ilvl="8" w:tplc="78C0D9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6B0235"/>
    <w:multiLevelType w:val="hybridMultilevel"/>
    <w:tmpl w:val="931649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71C63F3"/>
    <w:multiLevelType w:val="multilevel"/>
    <w:tmpl w:val="7632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192501"/>
    <w:multiLevelType w:val="hybridMultilevel"/>
    <w:tmpl w:val="8A16DEA4"/>
    <w:lvl w:ilvl="0" w:tplc="E498444E">
      <w:start w:val="1"/>
      <w:numFmt w:val="bullet"/>
      <w:lvlText w:val="•"/>
      <w:lvlJc w:val="left"/>
      <w:pPr>
        <w:tabs>
          <w:tab w:val="num" w:pos="720"/>
        </w:tabs>
        <w:ind w:left="720" w:hanging="360"/>
      </w:pPr>
      <w:rPr>
        <w:rFonts w:ascii="Arial" w:hAnsi="Arial" w:hint="default"/>
      </w:rPr>
    </w:lvl>
    <w:lvl w:ilvl="1" w:tplc="D47AC446" w:tentative="1">
      <w:start w:val="1"/>
      <w:numFmt w:val="bullet"/>
      <w:lvlText w:val="•"/>
      <w:lvlJc w:val="left"/>
      <w:pPr>
        <w:tabs>
          <w:tab w:val="num" w:pos="1440"/>
        </w:tabs>
        <w:ind w:left="1440" w:hanging="360"/>
      </w:pPr>
      <w:rPr>
        <w:rFonts w:ascii="Arial" w:hAnsi="Arial" w:hint="default"/>
      </w:rPr>
    </w:lvl>
    <w:lvl w:ilvl="2" w:tplc="315A9F74" w:tentative="1">
      <w:start w:val="1"/>
      <w:numFmt w:val="bullet"/>
      <w:lvlText w:val="•"/>
      <w:lvlJc w:val="left"/>
      <w:pPr>
        <w:tabs>
          <w:tab w:val="num" w:pos="2160"/>
        </w:tabs>
        <w:ind w:left="2160" w:hanging="360"/>
      </w:pPr>
      <w:rPr>
        <w:rFonts w:ascii="Arial" w:hAnsi="Arial" w:hint="default"/>
      </w:rPr>
    </w:lvl>
    <w:lvl w:ilvl="3" w:tplc="A5BA464A" w:tentative="1">
      <w:start w:val="1"/>
      <w:numFmt w:val="bullet"/>
      <w:lvlText w:val="•"/>
      <w:lvlJc w:val="left"/>
      <w:pPr>
        <w:tabs>
          <w:tab w:val="num" w:pos="2880"/>
        </w:tabs>
        <w:ind w:left="2880" w:hanging="360"/>
      </w:pPr>
      <w:rPr>
        <w:rFonts w:ascii="Arial" w:hAnsi="Arial" w:hint="default"/>
      </w:rPr>
    </w:lvl>
    <w:lvl w:ilvl="4" w:tplc="D1683B92" w:tentative="1">
      <w:start w:val="1"/>
      <w:numFmt w:val="bullet"/>
      <w:lvlText w:val="•"/>
      <w:lvlJc w:val="left"/>
      <w:pPr>
        <w:tabs>
          <w:tab w:val="num" w:pos="3600"/>
        </w:tabs>
        <w:ind w:left="3600" w:hanging="360"/>
      </w:pPr>
      <w:rPr>
        <w:rFonts w:ascii="Arial" w:hAnsi="Arial" w:hint="default"/>
      </w:rPr>
    </w:lvl>
    <w:lvl w:ilvl="5" w:tplc="B1966226" w:tentative="1">
      <w:start w:val="1"/>
      <w:numFmt w:val="bullet"/>
      <w:lvlText w:val="•"/>
      <w:lvlJc w:val="left"/>
      <w:pPr>
        <w:tabs>
          <w:tab w:val="num" w:pos="4320"/>
        </w:tabs>
        <w:ind w:left="4320" w:hanging="360"/>
      </w:pPr>
      <w:rPr>
        <w:rFonts w:ascii="Arial" w:hAnsi="Arial" w:hint="default"/>
      </w:rPr>
    </w:lvl>
    <w:lvl w:ilvl="6" w:tplc="E8C22172" w:tentative="1">
      <w:start w:val="1"/>
      <w:numFmt w:val="bullet"/>
      <w:lvlText w:val="•"/>
      <w:lvlJc w:val="left"/>
      <w:pPr>
        <w:tabs>
          <w:tab w:val="num" w:pos="5040"/>
        </w:tabs>
        <w:ind w:left="5040" w:hanging="360"/>
      </w:pPr>
      <w:rPr>
        <w:rFonts w:ascii="Arial" w:hAnsi="Arial" w:hint="default"/>
      </w:rPr>
    </w:lvl>
    <w:lvl w:ilvl="7" w:tplc="78829828" w:tentative="1">
      <w:start w:val="1"/>
      <w:numFmt w:val="bullet"/>
      <w:lvlText w:val="•"/>
      <w:lvlJc w:val="left"/>
      <w:pPr>
        <w:tabs>
          <w:tab w:val="num" w:pos="5760"/>
        </w:tabs>
        <w:ind w:left="5760" w:hanging="360"/>
      </w:pPr>
      <w:rPr>
        <w:rFonts w:ascii="Arial" w:hAnsi="Arial" w:hint="default"/>
      </w:rPr>
    </w:lvl>
    <w:lvl w:ilvl="8" w:tplc="E38E7C76" w:tentative="1">
      <w:start w:val="1"/>
      <w:numFmt w:val="bullet"/>
      <w:lvlText w:val="•"/>
      <w:lvlJc w:val="left"/>
      <w:pPr>
        <w:tabs>
          <w:tab w:val="num" w:pos="6480"/>
        </w:tabs>
        <w:ind w:left="6480" w:hanging="360"/>
      </w:pPr>
      <w:rPr>
        <w:rFonts w:ascii="Arial" w:hAnsi="Arial" w:hint="default"/>
      </w:rPr>
    </w:lvl>
  </w:abstractNum>
  <w:num w:numId="1" w16cid:durableId="1912545317">
    <w:abstractNumId w:val="8"/>
  </w:num>
  <w:num w:numId="2" w16cid:durableId="495002605">
    <w:abstractNumId w:val="11"/>
  </w:num>
  <w:num w:numId="3" w16cid:durableId="725841520">
    <w:abstractNumId w:val="9"/>
  </w:num>
  <w:num w:numId="4" w16cid:durableId="1211260766">
    <w:abstractNumId w:val="2"/>
  </w:num>
  <w:num w:numId="5" w16cid:durableId="1225945038">
    <w:abstractNumId w:val="3"/>
  </w:num>
  <w:num w:numId="6" w16cid:durableId="1825202411">
    <w:abstractNumId w:val="7"/>
  </w:num>
  <w:num w:numId="7" w16cid:durableId="1776821476">
    <w:abstractNumId w:val="6"/>
  </w:num>
  <w:num w:numId="8" w16cid:durableId="1389382368">
    <w:abstractNumId w:val="4"/>
  </w:num>
  <w:num w:numId="9" w16cid:durableId="1951231799">
    <w:abstractNumId w:val="0"/>
  </w:num>
  <w:num w:numId="10" w16cid:durableId="1928878105">
    <w:abstractNumId w:val="10"/>
  </w:num>
  <w:num w:numId="11" w16cid:durableId="1817182969">
    <w:abstractNumId w:val="1"/>
  </w:num>
  <w:num w:numId="12" w16cid:durableId="20722715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99"/>
    <w:rsid w:val="000010D5"/>
    <w:rsid w:val="00002762"/>
    <w:rsid w:val="00010799"/>
    <w:rsid w:val="00032724"/>
    <w:rsid w:val="00037532"/>
    <w:rsid w:val="00055506"/>
    <w:rsid w:val="000B041D"/>
    <w:rsid w:val="0014545B"/>
    <w:rsid w:val="001771A7"/>
    <w:rsid w:val="001D5CF6"/>
    <w:rsid w:val="001D6F4E"/>
    <w:rsid w:val="00250012"/>
    <w:rsid w:val="00275AC6"/>
    <w:rsid w:val="002952C9"/>
    <w:rsid w:val="003664C2"/>
    <w:rsid w:val="00392151"/>
    <w:rsid w:val="00412AB3"/>
    <w:rsid w:val="0043245E"/>
    <w:rsid w:val="004471B3"/>
    <w:rsid w:val="00475E60"/>
    <w:rsid w:val="004C5BBB"/>
    <w:rsid w:val="0053146C"/>
    <w:rsid w:val="005439B3"/>
    <w:rsid w:val="00566238"/>
    <w:rsid w:val="005A646E"/>
    <w:rsid w:val="005B3AFA"/>
    <w:rsid w:val="006247A2"/>
    <w:rsid w:val="006327E5"/>
    <w:rsid w:val="00646FFF"/>
    <w:rsid w:val="006B6349"/>
    <w:rsid w:val="007A4C17"/>
    <w:rsid w:val="007C2C6C"/>
    <w:rsid w:val="007F7BF6"/>
    <w:rsid w:val="00840516"/>
    <w:rsid w:val="00860195"/>
    <w:rsid w:val="008904AD"/>
    <w:rsid w:val="008D3D36"/>
    <w:rsid w:val="008D5FDE"/>
    <w:rsid w:val="008F1D46"/>
    <w:rsid w:val="00900001"/>
    <w:rsid w:val="00900D28"/>
    <w:rsid w:val="0090250E"/>
    <w:rsid w:val="009441C3"/>
    <w:rsid w:val="009B60BA"/>
    <w:rsid w:val="009B7ED1"/>
    <w:rsid w:val="009F3DCE"/>
    <w:rsid w:val="00A32BC6"/>
    <w:rsid w:val="00A40BB0"/>
    <w:rsid w:val="00A61B9C"/>
    <w:rsid w:val="00A93257"/>
    <w:rsid w:val="00B30A99"/>
    <w:rsid w:val="00B447B6"/>
    <w:rsid w:val="00B84AD9"/>
    <w:rsid w:val="00B9790C"/>
    <w:rsid w:val="00BB4EDA"/>
    <w:rsid w:val="00C062EC"/>
    <w:rsid w:val="00C16B4F"/>
    <w:rsid w:val="00C17A5C"/>
    <w:rsid w:val="00C546AC"/>
    <w:rsid w:val="00C6485F"/>
    <w:rsid w:val="00C94F11"/>
    <w:rsid w:val="00CA4891"/>
    <w:rsid w:val="00CB0C3F"/>
    <w:rsid w:val="00CC4F64"/>
    <w:rsid w:val="00CE06D0"/>
    <w:rsid w:val="00CE27D3"/>
    <w:rsid w:val="00CE6CC2"/>
    <w:rsid w:val="00CF3A84"/>
    <w:rsid w:val="00D13774"/>
    <w:rsid w:val="00D22E40"/>
    <w:rsid w:val="00D82F58"/>
    <w:rsid w:val="00D92622"/>
    <w:rsid w:val="00DA5643"/>
    <w:rsid w:val="00DF1396"/>
    <w:rsid w:val="00DF794B"/>
    <w:rsid w:val="00E20F2B"/>
    <w:rsid w:val="00E254F4"/>
    <w:rsid w:val="00E40237"/>
    <w:rsid w:val="00E469FD"/>
    <w:rsid w:val="00E56E49"/>
    <w:rsid w:val="00E814FE"/>
    <w:rsid w:val="00E9295B"/>
    <w:rsid w:val="00E974DF"/>
    <w:rsid w:val="00EE1369"/>
    <w:rsid w:val="00F038DE"/>
    <w:rsid w:val="00F45897"/>
    <w:rsid w:val="00F531D3"/>
    <w:rsid w:val="00F700EC"/>
    <w:rsid w:val="00F8035E"/>
    <w:rsid w:val="00F81170"/>
    <w:rsid w:val="00F93CFC"/>
    <w:rsid w:val="00F95C70"/>
    <w:rsid w:val="00F95D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9E43"/>
  <w15:chartTrackingRefBased/>
  <w15:docId w15:val="{9A1A6243-3A36-47B4-8628-DC39CAD3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CFC"/>
    <w:pPr>
      <w:spacing w:after="0" w:line="240" w:lineRule="auto"/>
      <w:ind w:left="720"/>
      <w:contextualSpacing/>
    </w:pPr>
    <w:rPr>
      <w:rFonts w:ascii="Times New Roman" w:eastAsia="Times New Roman" w:hAnsi="Times New Roman" w:cs="Times New Roman"/>
      <w:kern w:val="0"/>
      <w:sz w:val="24"/>
      <w:szCs w:val="24"/>
      <w:lang w:val="fr-CA" w:eastAsia="fr-CA"/>
      <w14:ligatures w14:val="none"/>
    </w:rPr>
  </w:style>
  <w:style w:type="paragraph" w:styleId="NormalWeb">
    <w:name w:val="Normal (Web)"/>
    <w:basedOn w:val="Normal"/>
    <w:uiPriority w:val="99"/>
    <w:unhideWhenUsed/>
    <w:rsid w:val="006B6349"/>
    <w:pPr>
      <w:spacing w:before="100" w:beforeAutospacing="1" w:after="100" w:afterAutospacing="1" w:line="240" w:lineRule="auto"/>
    </w:pPr>
    <w:rPr>
      <w:rFonts w:ascii="Times New Roman" w:eastAsia="Times New Roman" w:hAnsi="Times New Roman" w:cs="Times New Roman"/>
      <w:kern w:val="0"/>
      <w:sz w:val="24"/>
      <w:szCs w:val="24"/>
      <w:lang w:val="fr-CA" w:eastAsia="fr-CA"/>
      <w14:ligatures w14:val="none"/>
    </w:rPr>
  </w:style>
  <w:style w:type="character" w:styleId="Hyperlink">
    <w:name w:val="Hyperlink"/>
    <w:basedOn w:val="DefaultParagraphFont"/>
    <w:uiPriority w:val="99"/>
    <w:unhideWhenUsed/>
    <w:rsid w:val="00CF3A84"/>
    <w:rPr>
      <w:color w:val="0563C1" w:themeColor="hyperlink"/>
      <w:u w:val="single"/>
    </w:rPr>
  </w:style>
  <w:style w:type="character" w:styleId="UnresolvedMention">
    <w:name w:val="Unresolved Mention"/>
    <w:basedOn w:val="DefaultParagraphFont"/>
    <w:uiPriority w:val="99"/>
    <w:semiHidden/>
    <w:unhideWhenUsed/>
    <w:rsid w:val="00CF3A84"/>
    <w:rPr>
      <w:color w:val="605E5C"/>
      <w:shd w:val="clear" w:color="auto" w:fill="E1DFDD"/>
    </w:rPr>
  </w:style>
  <w:style w:type="character" w:styleId="FollowedHyperlink">
    <w:name w:val="FollowedHyperlink"/>
    <w:basedOn w:val="DefaultParagraphFont"/>
    <w:uiPriority w:val="99"/>
    <w:semiHidden/>
    <w:unhideWhenUsed/>
    <w:rsid w:val="007F7BF6"/>
    <w:rPr>
      <w:color w:val="954F72" w:themeColor="followedHyperlink"/>
      <w:u w:val="single"/>
    </w:rPr>
  </w:style>
  <w:style w:type="paragraph" w:styleId="Revision">
    <w:name w:val="Revision"/>
    <w:hidden/>
    <w:uiPriority w:val="99"/>
    <w:semiHidden/>
    <w:rsid w:val="006327E5"/>
    <w:pPr>
      <w:spacing w:after="0" w:line="240" w:lineRule="auto"/>
    </w:pPr>
    <w:rPr>
      <w:lang w:val="en-CA"/>
    </w:rPr>
  </w:style>
  <w:style w:type="character" w:styleId="CommentReference">
    <w:name w:val="annotation reference"/>
    <w:basedOn w:val="DefaultParagraphFont"/>
    <w:uiPriority w:val="99"/>
    <w:semiHidden/>
    <w:unhideWhenUsed/>
    <w:rsid w:val="00250012"/>
    <w:rPr>
      <w:sz w:val="16"/>
      <w:szCs w:val="16"/>
    </w:rPr>
  </w:style>
  <w:style w:type="paragraph" w:styleId="CommentText">
    <w:name w:val="annotation text"/>
    <w:basedOn w:val="Normal"/>
    <w:link w:val="CommentTextChar"/>
    <w:uiPriority w:val="99"/>
    <w:unhideWhenUsed/>
    <w:rsid w:val="00250012"/>
    <w:pPr>
      <w:spacing w:line="240" w:lineRule="auto"/>
    </w:pPr>
    <w:rPr>
      <w:sz w:val="20"/>
      <w:szCs w:val="20"/>
    </w:rPr>
  </w:style>
  <w:style w:type="character" w:customStyle="1" w:styleId="CommentTextChar">
    <w:name w:val="Comment Text Char"/>
    <w:basedOn w:val="DefaultParagraphFont"/>
    <w:link w:val="CommentText"/>
    <w:uiPriority w:val="99"/>
    <w:rsid w:val="00250012"/>
    <w:rPr>
      <w:sz w:val="20"/>
      <w:szCs w:val="20"/>
      <w:lang w:val="en-CA"/>
    </w:rPr>
  </w:style>
  <w:style w:type="paragraph" w:styleId="CommentSubject">
    <w:name w:val="annotation subject"/>
    <w:basedOn w:val="CommentText"/>
    <w:next w:val="CommentText"/>
    <w:link w:val="CommentSubjectChar"/>
    <w:uiPriority w:val="99"/>
    <w:semiHidden/>
    <w:unhideWhenUsed/>
    <w:rsid w:val="00250012"/>
    <w:rPr>
      <w:b/>
      <w:bCs/>
    </w:rPr>
  </w:style>
  <w:style w:type="character" w:customStyle="1" w:styleId="CommentSubjectChar">
    <w:name w:val="Comment Subject Char"/>
    <w:basedOn w:val="CommentTextChar"/>
    <w:link w:val="CommentSubject"/>
    <w:uiPriority w:val="99"/>
    <w:semiHidden/>
    <w:rsid w:val="00250012"/>
    <w:rPr>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63672">
      <w:bodyDiv w:val="1"/>
      <w:marLeft w:val="0"/>
      <w:marRight w:val="0"/>
      <w:marTop w:val="0"/>
      <w:marBottom w:val="0"/>
      <w:divBdr>
        <w:top w:val="none" w:sz="0" w:space="0" w:color="auto"/>
        <w:left w:val="none" w:sz="0" w:space="0" w:color="auto"/>
        <w:bottom w:val="none" w:sz="0" w:space="0" w:color="auto"/>
        <w:right w:val="none" w:sz="0" w:space="0" w:color="auto"/>
      </w:divBdr>
      <w:divsChild>
        <w:div w:id="1267691472">
          <w:marLeft w:val="0"/>
          <w:marRight w:val="0"/>
          <w:marTop w:val="0"/>
          <w:marBottom w:val="0"/>
          <w:divBdr>
            <w:top w:val="none" w:sz="0" w:space="0" w:color="auto"/>
            <w:left w:val="none" w:sz="0" w:space="0" w:color="auto"/>
            <w:bottom w:val="none" w:sz="0" w:space="0" w:color="auto"/>
            <w:right w:val="none" w:sz="0" w:space="0" w:color="auto"/>
          </w:divBdr>
          <w:divsChild>
            <w:div w:id="1691298981">
              <w:marLeft w:val="0"/>
              <w:marRight w:val="0"/>
              <w:marTop w:val="0"/>
              <w:marBottom w:val="0"/>
              <w:divBdr>
                <w:top w:val="none" w:sz="0" w:space="0" w:color="auto"/>
                <w:left w:val="none" w:sz="0" w:space="0" w:color="auto"/>
                <w:bottom w:val="none" w:sz="0" w:space="0" w:color="auto"/>
                <w:right w:val="none" w:sz="0" w:space="0" w:color="auto"/>
              </w:divBdr>
              <w:divsChild>
                <w:div w:id="20938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80163">
      <w:bodyDiv w:val="1"/>
      <w:marLeft w:val="0"/>
      <w:marRight w:val="0"/>
      <w:marTop w:val="0"/>
      <w:marBottom w:val="0"/>
      <w:divBdr>
        <w:top w:val="none" w:sz="0" w:space="0" w:color="auto"/>
        <w:left w:val="none" w:sz="0" w:space="0" w:color="auto"/>
        <w:bottom w:val="none" w:sz="0" w:space="0" w:color="auto"/>
        <w:right w:val="none" w:sz="0" w:space="0" w:color="auto"/>
      </w:divBdr>
      <w:divsChild>
        <w:div w:id="1118837369">
          <w:marLeft w:val="360"/>
          <w:marRight w:val="0"/>
          <w:marTop w:val="200"/>
          <w:marBottom w:val="0"/>
          <w:divBdr>
            <w:top w:val="none" w:sz="0" w:space="0" w:color="auto"/>
            <w:left w:val="none" w:sz="0" w:space="0" w:color="auto"/>
            <w:bottom w:val="none" w:sz="0" w:space="0" w:color="auto"/>
            <w:right w:val="none" w:sz="0" w:space="0" w:color="auto"/>
          </w:divBdr>
        </w:div>
      </w:divsChild>
    </w:div>
    <w:div w:id="772365279">
      <w:bodyDiv w:val="1"/>
      <w:marLeft w:val="0"/>
      <w:marRight w:val="0"/>
      <w:marTop w:val="0"/>
      <w:marBottom w:val="0"/>
      <w:divBdr>
        <w:top w:val="none" w:sz="0" w:space="0" w:color="auto"/>
        <w:left w:val="none" w:sz="0" w:space="0" w:color="auto"/>
        <w:bottom w:val="none" w:sz="0" w:space="0" w:color="auto"/>
        <w:right w:val="none" w:sz="0" w:space="0" w:color="auto"/>
      </w:divBdr>
      <w:divsChild>
        <w:div w:id="506754758">
          <w:marLeft w:val="0"/>
          <w:marRight w:val="0"/>
          <w:marTop w:val="0"/>
          <w:marBottom w:val="0"/>
          <w:divBdr>
            <w:top w:val="none" w:sz="0" w:space="0" w:color="auto"/>
            <w:left w:val="none" w:sz="0" w:space="0" w:color="auto"/>
            <w:bottom w:val="none" w:sz="0" w:space="0" w:color="auto"/>
            <w:right w:val="none" w:sz="0" w:space="0" w:color="auto"/>
          </w:divBdr>
          <w:divsChild>
            <w:div w:id="1947881345">
              <w:marLeft w:val="0"/>
              <w:marRight w:val="0"/>
              <w:marTop w:val="0"/>
              <w:marBottom w:val="0"/>
              <w:divBdr>
                <w:top w:val="none" w:sz="0" w:space="0" w:color="auto"/>
                <w:left w:val="none" w:sz="0" w:space="0" w:color="auto"/>
                <w:bottom w:val="none" w:sz="0" w:space="0" w:color="auto"/>
                <w:right w:val="none" w:sz="0" w:space="0" w:color="auto"/>
              </w:divBdr>
              <w:divsChild>
                <w:div w:id="10893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4884">
      <w:bodyDiv w:val="1"/>
      <w:marLeft w:val="0"/>
      <w:marRight w:val="0"/>
      <w:marTop w:val="0"/>
      <w:marBottom w:val="0"/>
      <w:divBdr>
        <w:top w:val="none" w:sz="0" w:space="0" w:color="auto"/>
        <w:left w:val="none" w:sz="0" w:space="0" w:color="auto"/>
        <w:bottom w:val="none" w:sz="0" w:space="0" w:color="auto"/>
        <w:right w:val="none" w:sz="0" w:space="0" w:color="auto"/>
      </w:divBdr>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726804622">
          <w:marLeft w:val="0"/>
          <w:marRight w:val="0"/>
          <w:marTop w:val="0"/>
          <w:marBottom w:val="0"/>
          <w:divBdr>
            <w:top w:val="none" w:sz="0" w:space="0" w:color="auto"/>
            <w:left w:val="none" w:sz="0" w:space="0" w:color="auto"/>
            <w:bottom w:val="none" w:sz="0" w:space="0" w:color="auto"/>
            <w:right w:val="none" w:sz="0" w:space="0" w:color="auto"/>
          </w:divBdr>
          <w:divsChild>
            <w:div w:id="425078545">
              <w:marLeft w:val="0"/>
              <w:marRight w:val="0"/>
              <w:marTop w:val="0"/>
              <w:marBottom w:val="0"/>
              <w:divBdr>
                <w:top w:val="none" w:sz="0" w:space="0" w:color="auto"/>
                <w:left w:val="none" w:sz="0" w:space="0" w:color="auto"/>
                <w:bottom w:val="none" w:sz="0" w:space="0" w:color="auto"/>
                <w:right w:val="none" w:sz="0" w:space="0" w:color="auto"/>
              </w:divBdr>
              <w:divsChild>
                <w:div w:id="235668120">
                  <w:marLeft w:val="0"/>
                  <w:marRight w:val="0"/>
                  <w:marTop w:val="0"/>
                  <w:marBottom w:val="0"/>
                  <w:divBdr>
                    <w:top w:val="none" w:sz="0" w:space="0" w:color="auto"/>
                    <w:left w:val="none" w:sz="0" w:space="0" w:color="auto"/>
                    <w:bottom w:val="none" w:sz="0" w:space="0" w:color="auto"/>
                    <w:right w:val="none" w:sz="0" w:space="0" w:color="auto"/>
                  </w:divBdr>
                </w:div>
              </w:divsChild>
            </w:div>
            <w:div w:id="1814789927">
              <w:marLeft w:val="0"/>
              <w:marRight w:val="0"/>
              <w:marTop w:val="0"/>
              <w:marBottom w:val="0"/>
              <w:divBdr>
                <w:top w:val="none" w:sz="0" w:space="0" w:color="auto"/>
                <w:left w:val="none" w:sz="0" w:space="0" w:color="auto"/>
                <w:bottom w:val="none" w:sz="0" w:space="0" w:color="auto"/>
                <w:right w:val="none" w:sz="0" w:space="0" w:color="auto"/>
              </w:divBdr>
              <w:divsChild>
                <w:div w:id="10320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4372">
          <w:marLeft w:val="0"/>
          <w:marRight w:val="0"/>
          <w:marTop w:val="0"/>
          <w:marBottom w:val="0"/>
          <w:divBdr>
            <w:top w:val="none" w:sz="0" w:space="0" w:color="auto"/>
            <w:left w:val="none" w:sz="0" w:space="0" w:color="auto"/>
            <w:bottom w:val="none" w:sz="0" w:space="0" w:color="auto"/>
            <w:right w:val="none" w:sz="0" w:space="0" w:color="auto"/>
          </w:divBdr>
          <w:divsChild>
            <w:div w:id="912205962">
              <w:marLeft w:val="0"/>
              <w:marRight w:val="0"/>
              <w:marTop w:val="0"/>
              <w:marBottom w:val="0"/>
              <w:divBdr>
                <w:top w:val="none" w:sz="0" w:space="0" w:color="auto"/>
                <w:left w:val="none" w:sz="0" w:space="0" w:color="auto"/>
                <w:bottom w:val="none" w:sz="0" w:space="0" w:color="auto"/>
                <w:right w:val="none" w:sz="0" w:space="0" w:color="auto"/>
              </w:divBdr>
              <w:divsChild>
                <w:div w:id="1393038195">
                  <w:marLeft w:val="0"/>
                  <w:marRight w:val="0"/>
                  <w:marTop w:val="0"/>
                  <w:marBottom w:val="0"/>
                  <w:divBdr>
                    <w:top w:val="none" w:sz="0" w:space="0" w:color="auto"/>
                    <w:left w:val="none" w:sz="0" w:space="0" w:color="auto"/>
                    <w:bottom w:val="none" w:sz="0" w:space="0" w:color="auto"/>
                    <w:right w:val="none" w:sz="0" w:space="0" w:color="auto"/>
                  </w:divBdr>
                </w:div>
              </w:divsChild>
            </w:div>
            <w:div w:id="1782802140">
              <w:marLeft w:val="0"/>
              <w:marRight w:val="0"/>
              <w:marTop w:val="0"/>
              <w:marBottom w:val="0"/>
              <w:divBdr>
                <w:top w:val="none" w:sz="0" w:space="0" w:color="auto"/>
                <w:left w:val="none" w:sz="0" w:space="0" w:color="auto"/>
                <w:bottom w:val="none" w:sz="0" w:space="0" w:color="auto"/>
                <w:right w:val="none" w:sz="0" w:space="0" w:color="auto"/>
              </w:divBdr>
              <w:divsChild>
                <w:div w:id="9562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601">
      <w:bodyDiv w:val="1"/>
      <w:marLeft w:val="0"/>
      <w:marRight w:val="0"/>
      <w:marTop w:val="0"/>
      <w:marBottom w:val="0"/>
      <w:divBdr>
        <w:top w:val="none" w:sz="0" w:space="0" w:color="auto"/>
        <w:left w:val="none" w:sz="0" w:space="0" w:color="auto"/>
        <w:bottom w:val="none" w:sz="0" w:space="0" w:color="auto"/>
        <w:right w:val="none" w:sz="0" w:space="0" w:color="auto"/>
      </w:divBdr>
      <w:divsChild>
        <w:div w:id="1846239504">
          <w:marLeft w:val="360"/>
          <w:marRight w:val="0"/>
          <w:marTop w:val="200"/>
          <w:marBottom w:val="0"/>
          <w:divBdr>
            <w:top w:val="none" w:sz="0" w:space="0" w:color="auto"/>
            <w:left w:val="none" w:sz="0" w:space="0" w:color="auto"/>
            <w:bottom w:val="none" w:sz="0" w:space="0" w:color="auto"/>
            <w:right w:val="none" w:sz="0" w:space="0" w:color="auto"/>
          </w:divBdr>
        </w:div>
      </w:divsChild>
    </w:div>
    <w:div w:id="1387340664">
      <w:bodyDiv w:val="1"/>
      <w:marLeft w:val="0"/>
      <w:marRight w:val="0"/>
      <w:marTop w:val="0"/>
      <w:marBottom w:val="0"/>
      <w:divBdr>
        <w:top w:val="none" w:sz="0" w:space="0" w:color="auto"/>
        <w:left w:val="none" w:sz="0" w:space="0" w:color="auto"/>
        <w:bottom w:val="none" w:sz="0" w:space="0" w:color="auto"/>
        <w:right w:val="none" w:sz="0" w:space="0" w:color="auto"/>
      </w:divBdr>
      <w:divsChild>
        <w:div w:id="1915047373">
          <w:marLeft w:val="360"/>
          <w:marRight w:val="0"/>
          <w:marTop w:val="200"/>
          <w:marBottom w:val="0"/>
          <w:divBdr>
            <w:top w:val="none" w:sz="0" w:space="0" w:color="auto"/>
            <w:left w:val="none" w:sz="0" w:space="0" w:color="auto"/>
            <w:bottom w:val="none" w:sz="0" w:space="0" w:color="auto"/>
            <w:right w:val="none" w:sz="0" w:space="0" w:color="auto"/>
          </w:divBdr>
        </w:div>
        <w:div w:id="951593752">
          <w:marLeft w:val="360"/>
          <w:marRight w:val="0"/>
          <w:marTop w:val="200"/>
          <w:marBottom w:val="0"/>
          <w:divBdr>
            <w:top w:val="none" w:sz="0" w:space="0" w:color="auto"/>
            <w:left w:val="none" w:sz="0" w:space="0" w:color="auto"/>
            <w:bottom w:val="none" w:sz="0" w:space="0" w:color="auto"/>
            <w:right w:val="none" w:sz="0" w:space="0" w:color="auto"/>
          </w:divBdr>
        </w:div>
      </w:divsChild>
    </w:div>
    <w:div w:id="1476873315">
      <w:bodyDiv w:val="1"/>
      <w:marLeft w:val="0"/>
      <w:marRight w:val="0"/>
      <w:marTop w:val="0"/>
      <w:marBottom w:val="0"/>
      <w:divBdr>
        <w:top w:val="none" w:sz="0" w:space="0" w:color="auto"/>
        <w:left w:val="none" w:sz="0" w:space="0" w:color="auto"/>
        <w:bottom w:val="none" w:sz="0" w:space="0" w:color="auto"/>
        <w:right w:val="none" w:sz="0" w:space="0" w:color="auto"/>
      </w:divBdr>
    </w:div>
    <w:div w:id="1723557146">
      <w:bodyDiv w:val="1"/>
      <w:marLeft w:val="0"/>
      <w:marRight w:val="0"/>
      <w:marTop w:val="0"/>
      <w:marBottom w:val="0"/>
      <w:divBdr>
        <w:top w:val="none" w:sz="0" w:space="0" w:color="auto"/>
        <w:left w:val="none" w:sz="0" w:space="0" w:color="auto"/>
        <w:bottom w:val="none" w:sz="0" w:space="0" w:color="auto"/>
        <w:right w:val="none" w:sz="0" w:space="0" w:color="auto"/>
      </w:divBdr>
      <w:divsChild>
        <w:div w:id="1329753088">
          <w:marLeft w:val="0"/>
          <w:marRight w:val="0"/>
          <w:marTop w:val="0"/>
          <w:marBottom w:val="0"/>
          <w:divBdr>
            <w:top w:val="none" w:sz="0" w:space="0" w:color="auto"/>
            <w:left w:val="none" w:sz="0" w:space="0" w:color="auto"/>
            <w:bottom w:val="none" w:sz="0" w:space="0" w:color="auto"/>
            <w:right w:val="none" w:sz="0" w:space="0" w:color="auto"/>
          </w:divBdr>
          <w:divsChild>
            <w:div w:id="1575386486">
              <w:marLeft w:val="0"/>
              <w:marRight w:val="0"/>
              <w:marTop w:val="0"/>
              <w:marBottom w:val="0"/>
              <w:divBdr>
                <w:top w:val="none" w:sz="0" w:space="0" w:color="auto"/>
                <w:left w:val="none" w:sz="0" w:space="0" w:color="auto"/>
                <w:bottom w:val="none" w:sz="0" w:space="0" w:color="auto"/>
                <w:right w:val="none" w:sz="0" w:space="0" w:color="auto"/>
              </w:divBdr>
              <w:divsChild>
                <w:div w:id="2073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9722">
      <w:bodyDiv w:val="1"/>
      <w:marLeft w:val="0"/>
      <w:marRight w:val="0"/>
      <w:marTop w:val="0"/>
      <w:marBottom w:val="0"/>
      <w:divBdr>
        <w:top w:val="none" w:sz="0" w:space="0" w:color="auto"/>
        <w:left w:val="none" w:sz="0" w:space="0" w:color="auto"/>
        <w:bottom w:val="none" w:sz="0" w:space="0" w:color="auto"/>
        <w:right w:val="none" w:sz="0" w:space="0" w:color="auto"/>
      </w:divBdr>
      <w:divsChild>
        <w:div w:id="1136484168">
          <w:marLeft w:val="0"/>
          <w:marRight w:val="0"/>
          <w:marTop w:val="0"/>
          <w:marBottom w:val="0"/>
          <w:divBdr>
            <w:top w:val="none" w:sz="0" w:space="0" w:color="auto"/>
            <w:left w:val="none" w:sz="0" w:space="0" w:color="auto"/>
            <w:bottom w:val="none" w:sz="0" w:space="0" w:color="auto"/>
            <w:right w:val="none" w:sz="0" w:space="0" w:color="auto"/>
          </w:divBdr>
          <w:divsChild>
            <w:div w:id="573782675">
              <w:marLeft w:val="0"/>
              <w:marRight w:val="0"/>
              <w:marTop w:val="0"/>
              <w:marBottom w:val="0"/>
              <w:divBdr>
                <w:top w:val="none" w:sz="0" w:space="0" w:color="auto"/>
                <w:left w:val="none" w:sz="0" w:space="0" w:color="auto"/>
                <w:bottom w:val="none" w:sz="0" w:space="0" w:color="auto"/>
                <w:right w:val="none" w:sz="0" w:space="0" w:color="auto"/>
              </w:divBdr>
              <w:divsChild>
                <w:div w:id="11966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pa.gov/newsreleases/biden-harris-administration-proposes-strongest-ever-pollution-standards-cars-a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anada.ca/en/environment-climate-change/news/2022/12/proposed-regulated-sales-targets-for-zero-emission-vehicles.html" TargetMode="External"/><Relationship Id="rId17" Type="http://schemas.openxmlformats.org/officeDocument/2006/relationships/hyperlink" Target="https://ised-isde.canada.ca/site/canadian-automotive-industry/en" TargetMode="External"/><Relationship Id="rId2" Type="http://schemas.openxmlformats.org/officeDocument/2006/relationships/numbering" Target="numbering.xml"/><Relationship Id="rId16" Type="http://schemas.openxmlformats.org/officeDocument/2006/relationships/hyperlink" Target="https://torontosun.com/opinion/columnists/no-justin-trudeau-didnt-give-vw-and-stellantis-billion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euters.com/technology/exclusive-automakers-double-spending-evs-batteries-12-trillion-by-2030-2022-10-" TargetMode="External"/><Relationship Id="rId5" Type="http://schemas.openxmlformats.org/officeDocument/2006/relationships/webSettings" Target="webSettings.xml"/><Relationship Id="rId15" Type="http://schemas.openxmlformats.org/officeDocument/2006/relationships/hyperlink" Target="https://www.spglobal.com/mobility/en/research-analysis/automotive-insights-q2-2023-canadian-ev-information-and-analys.html" TargetMode="External"/><Relationship Id="rId10" Type="http://schemas.openxmlformats.org/officeDocument/2006/relationships/hyperlink" Target="https://distribution-a617274656661637473.pbo-dpb.ca/243471bcfade3decfc9a60ed9050b6438ccf5dca3db091709abb68793915dd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tlasevhub.com/weekly-digest/for-every-10-light-duty-vehicles-sold-in-june-one-was-an-e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45C60-2437-4942-A3E6-16D31E4A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1908</Words>
  <Characters>10495</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Lévesque</dc:creator>
  <cp:keywords/>
  <dc:description/>
  <cp:lastModifiedBy>Louise Lévesque</cp:lastModifiedBy>
  <cp:revision>11</cp:revision>
  <cp:lastPrinted>2023-09-20T13:59:00Z</cp:lastPrinted>
  <dcterms:created xsi:type="dcterms:W3CDTF">2023-09-20T15:29:00Z</dcterms:created>
  <dcterms:modified xsi:type="dcterms:W3CDTF">2023-09-20T15:45:00Z</dcterms:modified>
</cp:coreProperties>
</file>