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1720" w14:textId="3892715C" w:rsidR="00944851" w:rsidRPr="00500BCC" w:rsidRDefault="00944851" w:rsidP="00123597">
      <w:pPr>
        <w:pStyle w:val="NoSpacing"/>
        <w:jc w:val="center"/>
        <w:rPr>
          <w:b/>
          <w:bCs/>
          <w:sz w:val="28"/>
          <w:szCs w:val="28"/>
          <w:lang w:val="en-CA"/>
        </w:rPr>
      </w:pPr>
      <w:r w:rsidRPr="00500BCC">
        <w:rPr>
          <w:noProof/>
          <w:lang w:val="en-CA"/>
        </w:rPr>
        <w:drawing>
          <wp:inline distT="0" distB="0" distL="0" distR="0" wp14:anchorId="36E48487" wp14:editId="43A74624">
            <wp:extent cx="5039999" cy="1659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039999" cy="1659000"/>
                    </a:xfrm>
                    <a:prstGeom prst="rect">
                      <a:avLst/>
                    </a:prstGeom>
                  </pic:spPr>
                </pic:pic>
              </a:graphicData>
            </a:graphic>
          </wp:inline>
        </w:drawing>
      </w:r>
    </w:p>
    <w:p w14:paraId="6A26D4AF" w14:textId="73A1C9D1" w:rsidR="006C3D28" w:rsidRDefault="006C3D28" w:rsidP="00123597">
      <w:pPr>
        <w:pStyle w:val="NoSpacing"/>
        <w:jc w:val="center"/>
        <w:rPr>
          <w:sz w:val="40"/>
          <w:szCs w:val="40"/>
          <w:lang w:val="en-CA"/>
        </w:rPr>
      </w:pPr>
    </w:p>
    <w:p w14:paraId="20C84034" w14:textId="77777777" w:rsidR="007221E9" w:rsidRDefault="007221E9" w:rsidP="00123597">
      <w:pPr>
        <w:pStyle w:val="NoSpacing"/>
        <w:jc w:val="center"/>
        <w:rPr>
          <w:sz w:val="40"/>
          <w:szCs w:val="40"/>
          <w:lang w:val="en-CA"/>
        </w:rPr>
      </w:pPr>
    </w:p>
    <w:p w14:paraId="7826B275" w14:textId="77777777" w:rsidR="00620326" w:rsidRPr="00500BCC" w:rsidRDefault="00620326" w:rsidP="00123597">
      <w:pPr>
        <w:pStyle w:val="NoSpacing"/>
        <w:jc w:val="center"/>
        <w:rPr>
          <w:sz w:val="40"/>
          <w:szCs w:val="40"/>
          <w:lang w:val="en-CA"/>
        </w:rPr>
      </w:pPr>
    </w:p>
    <w:p w14:paraId="7AFC8FE5" w14:textId="0885516D" w:rsidR="006C3D28" w:rsidRPr="00500BCC" w:rsidRDefault="006C3D28" w:rsidP="00123597">
      <w:pPr>
        <w:pStyle w:val="NoSpacing"/>
        <w:jc w:val="center"/>
        <w:rPr>
          <w:sz w:val="40"/>
          <w:szCs w:val="40"/>
          <w:lang w:val="en-CA"/>
        </w:rPr>
      </w:pPr>
      <w:r w:rsidRPr="00500BCC">
        <w:rPr>
          <w:sz w:val="40"/>
          <w:szCs w:val="40"/>
          <w:lang w:val="en-CA"/>
        </w:rPr>
        <w:t xml:space="preserve">Comments and Recommendations on </w:t>
      </w:r>
    </w:p>
    <w:p w14:paraId="592FCBB6" w14:textId="46837ECB" w:rsidR="00944851" w:rsidRPr="00500BCC" w:rsidRDefault="00944851" w:rsidP="00123597">
      <w:pPr>
        <w:pStyle w:val="NoSpacing"/>
        <w:jc w:val="center"/>
        <w:rPr>
          <w:b/>
          <w:bCs/>
          <w:sz w:val="40"/>
          <w:szCs w:val="40"/>
          <w:lang w:val="en-CA"/>
        </w:rPr>
      </w:pPr>
      <w:r w:rsidRPr="00500BCC">
        <w:rPr>
          <w:b/>
          <w:bCs/>
          <w:sz w:val="40"/>
          <w:szCs w:val="40"/>
          <w:lang w:val="en-CA"/>
        </w:rPr>
        <w:t xml:space="preserve">Regulations Amending the Passenger Automobile </w:t>
      </w:r>
      <w:r w:rsidRPr="00500BCC">
        <w:rPr>
          <w:lang w:val="en-CA"/>
        </w:rPr>
        <w:br/>
      </w:r>
      <w:r w:rsidRPr="00500BCC">
        <w:rPr>
          <w:b/>
          <w:bCs/>
          <w:sz w:val="40"/>
          <w:szCs w:val="40"/>
          <w:lang w:val="en-CA"/>
        </w:rPr>
        <w:t>and Light Truck Greenhouse Gas Emission Regulations</w:t>
      </w:r>
    </w:p>
    <w:p w14:paraId="4E48D037" w14:textId="5FEBEE1C" w:rsidR="00AA660E" w:rsidRDefault="00AA660E" w:rsidP="00123597">
      <w:pPr>
        <w:pStyle w:val="NoSpacing"/>
        <w:jc w:val="center"/>
        <w:rPr>
          <w:sz w:val="40"/>
          <w:szCs w:val="40"/>
          <w:highlight w:val="yellow"/>
          <w:lang w:val="en-CA"/>
        </w:rPr>
      </w:pPr>
    </w:p>
    <w:p w14:paraId="4922268A" w14:textId="77777777" w:rsidR="00892637" w:rsidRDefault="00892637" w:rsidP="00123597">
      <w:pPr>
        <w:pStyle w:val="NoSpacing"/>
        <w:jc w:val="center"/>
        <w:rPr>
          <w:sz w:val="40"/>
          <w:szCs w:val="40"/>
          <w:lang w:val="en-CA"/>
        </w:rPr>
      </w:pPr>
    </w:p>
    <w:p w14:paraId="72C719F4" w14:textId="77777777" w:rsidR="00620326" w:rsidRPr="00500BCC" w:rsidRDefault="00620326" w:rsidP="00123597">
      <w:pPr>
        <w:pStyle w:val="NoSpacing"/>
        <w:jc w:val="center"/>
        <w:rPr>
          <w:sz w:val="40"/>
          <w:szCs w:val="40"/>
          <w:lang w:val="en-CA"/>
        </w:rPr>
      </w:pPr>
    </w:p>
    <w:p w14:paraId="55ACFF9B" w14:textId="2DCD9D00" w:rsidR="00962DD2" w:rsidRPr="00500BCC" w:rsidRDefault="00962DD2" w:rsidP="00123597">
      <w:pPr>
        <w:pStyle w:val="NoSpacing"/>
        <w:jc w:val="center"/>
        <w:rPr>
          <w:sz w:val="40"/>
          <w:szCs w:val="40"/>
          <w:lang w:val="en-CA"/>
        </w:rPr>
      </w:pPr>
      <w:r w:rsidRPr="00500BCC">
        <w:rPr>
          <w:sz w:val="40"/>
          <w:szCs w:val="40"/>
          <w:lang w:val="en-CA"/>
        </w:rPr>
        <w:t>Submitted to</w:t>
      </w:r>
    </w:p>
    <w:p w14:paraId="68D6D2F2" w14:textId="440CC6BE" w:rsidR="00962DD2" w:rsidRPr="00500BCC" w:rsidRDefault="00962DD2" w:rsidP="00123597">
      <w:pPr>
        <w:pStyle w:val="NoSpacing"/>
        <w:jc w:val="center"/>
        <w:rPr>
          <w:b/>
          <w:bCs/>
          <w:sz w:val="40"/>
          <w:szCs w:val="40"/>
          <w:lang w:val="en-CA"/>
        </w:rPr>
      </w:pPr>
      <w:r w:rsidRPr="00500BCC">
        <w:rPr>
          <w:b/>
          <w:bCs/>
          <w:sz w:val="40"/>
          <w:szCs w:val="40"/>
          <w:lang w:val="en-CA"/>
        </w:rPr>
        <w:t>Environment and Climate Change Canada</w:t>
      </w:r>
    </w:p>
    <w:p w14:paraId="6E37F9B4" w14:textId="77777777" w:rsidR="00962DD2" w:rsidRPr="00500BCC" w:rsidRDefault="00962DD2" w:rsidP="00123597">
      <w:pPr>
        <w:spacing w:after="0"/>
        <w:jc w:val="center"/>
        <w:rPr>
          <w:sz w:val="40"/>
          <w:szCs w:val="40"/>
          <w:lang w:val="en-CA"/>
        </w:rPr>
      </w:pPr>
    </w:p>
    <w:p w14:paraId="5DD9B28E" w14:textId="3FC54EFE" w:rsidR="00944851" w:rsidRPr="00500BCC" w:rsidRDefault="00944851" w:rsidP="00123597">
      <w:pPr>
        <w:spacing w:after="0"/>
        <w:jc w:val="center"/>
        <w:rPr>
          <w:sz w:val="40"/>
          <w:szCs w:val="40"/>
          <w:lang w:val="en-CA"/>
        </w:rPr>
      </w:pPr>
      <w:r w:rsidRPr="00500BCC">
        <w:rPr>
          <w:sz w:val="40"/>
          <w:szCs w:val="40"/>
          <w:lang w:val="en-CA"/>
        </w:rPr>
        <w:t>By</w:t>
      </w:r>
    </w:p>
    <w:p w14:paraId="77CCC139" w14:textId="68F353C6" w:rsidR="00944851" w:rsidRPr="00500BCC" w:rsidRDefault="00944851" w:rsidP="00123597">
      <w:pPr>
        <w:spacing w:after="0"/>
        <w:jc w:val="center"/>
        <w:rPr>
          <w:b/>
          <w:bCs/>
          <w:sz w:val="40"/>
          <w:szCs w:val="40"/>
          <w:lang w:val="en-CA"/>
        </w:rPr>
      </w:pPr>
      <w:r w:rsidRPr="00500BCC">
        <w:rPr>
          <w:b/>
          <w:bCs/>
          <w:sz w:val="40"/>
          <w:szCs w:val="40"/>
          <w:lang w:val="en-CA"/>
        </w:rPr>
        <w:t>Electric Mobility Canada</w:t>
      </w:r>
    </w:p>
    <w:p w14:paraId="73764F5D" w14:textId="4368F7DA" w:rsidR="006C3D28" w:rsidRDefault="006C3D28" w:rsidP="00123597">
      <w:pPr>
        <w:spacing w:after="0"/>
        <w:jc w:val="center"/>
        <w:rPr>
          <w:sz w:val="40"/>
          <w:szCs w:val="40"/>
          <w:lang w:val="en-CA"/>
        </w:rPr>
      </w:pPr>
    </w:p>
    <w:p w14:paraId="2CF930C0" w14:textId="77777777" w:rsidR="007221E9" w:rsidRPr="00A560EA" w:rsidRDefault="007221E9" w:rsidP="00123597">
      <w:pPr>
        <w:spacing w:after="0"/>
        <w:jc w:val="center"/>
        <w:rPr>
          <w:sz w:val="40"/>
          <w:szCs w:val="40"/>
          <w:lang w:val="en-CA"/>
        </w:rPr>
      </w:pPr>
    </w:p>
    <w:p w14:paraId="40DE5C84" w14:textId="49497490" w:rsidR="00944851" w:rsidRPr="00D227B3" w:rsidRDefault="00A560EA" w:rsidP="00123597">
      <w:pPr>
        <w:pStyle w:val="NoSpacing"/>
        <w:tabs>
          <w:tab w:val="left" w:pos="5143"/>
        </w:tabs>
        <w:jc w:val="center"/>
        <w:rPr>
          <w:sz w:val="40"/>
          <w:szCs w:val="40"/>
          <w:lang w:val="en-CA"/>
        </w:rPr>
      </w:pPr>
      <w:r w:rsidRPr="00B94337">
        <w:rPr>
          <w:sz w:val="40"/>
          <w:szCs w:val="40"/>
          <w:lang w:val="en-CA"/>
        </w:rPr>
        <w:t>March 15, 2023</w:t>
      </w:r>
    </w:p>
    <w:p w14:paraId="02E6095A" w14:textId="77777777" w:rsidR="00892637" w:rsidRDefault="00892637" w:rsidP="00123597">
      <w:pPr>
        <w:pStyle w:val="NoSpacing"/>
        <w:tabs>
          <w:tab w:val="left" w:pos="5143"/>
        </w:tabs>
        <w:jc w:val="center"/>
        <w:rPr>
          <w:sz w:val="32"/>
          <w:szCs w:val="32"/>
          <w:lang w:val="en-CA"/>
        </w:rPr>
      </w:pPr>
    </w:p>
    <w:p w14:paraId="427B941F" w14:textId="77777777" w:rsidR="00620326" w:rsidRPr="00500BCC" w:rsidRDefault="00620326" w:rsidP="00123597">
      <w:pPr>
        <w:pStyle w:val="NoSpacing"/>
        <w:tabs>
          <w:tab w:val="left" w:pos="5143"/>
        </w:tabs>
        <w:jc w:val="center"/>
        <w:rPr>
          <w:sz w:val="32"/>
          <w:szCs w:val="32"/>
          <w:lang w:val="en-CA"/>
        </w:rPr>
      </w:pPr>
    </w:p>
    <w:p w14:paraId="4577A1E9" w14:textId="77777777" w:rsidR="006C3D28" w:rsidRPr="00500BCC" w:rsidRDefault="006C3D28">
      <w:pPr>
        <w:rPr>
          <w:b/>
          <w:bCs/>
          <w:lang w:val="en-CA" w:eastAsia="en-CA"/>
        </w:rPr>
      </w:pPr>
    </w:p>
    <w:p w14:paraId="46A02FB2" w14:textId="77777777" w:rsidR="005F2A4E" w:rsidRPr="00500BCC" w:rsidRDefault="005F2A4E">
      <w:pPr>
        <w:rPr>
          <w:b/>
          <w:bCs/>
          <w:lang w:val="en-CA" w:eastAsia="en-CA"/>
        </w:rPr>
        <w:sectPr w:rsidR="005F2A4E" w:rsidRPr="00500BCC" w:rsidSect="00892637">
          <w:headerReference w:type="default" r:id="rId12"/>
          <w:footerReference w:type="default" r:id="rId13"/>
          <w:pgSz w:w="12240" w:h="15840" w:code="119"/>
          <w:pgMar w:top="1440" w:right="1077" w:bottom="1440" w:left="1077" w:header="709" w:footer="709" w:gutter="0"/>
          <w:cols w:space="708"/>
          <w:vAlign w:val="center"/>
          <w:titlePg/>
          <w:docGrid w:linePitch="360"/>
        </w:sectPr>
      </w:pPr>
    </w:p>
    <w:p w14:paraId="4893D968" w14:textId="77777777" w:rsidR="000867CB" w:rsidRPr="00500BCC" w:rsidRDefault="000867CB" w:rsidP="000867CB">
      <w:pPr>
        <w:pStyle w:val="NoSpacing"/>
        <w:rPr>
          <w:rStyle w:val="Hyperlink"/>
          <w:color w:val="auto"/>
          <w:lang w:val="en-CA"/>
        </w:rPr>
      </w:pPr>
    </w:p>
    <w:p w14:paraId="6B084AB0" w14:textId="77777777" w:rsidR="000867CB" w:rsidRPr="00500BCC" w:rsidRDefault="000867CB" w:rsidP="000867CB">
      <w:pPr>
        <w:pStyle w:val="NoSpacing"/>
        <w:rPr>
          <w:rStyle w:val="Hyperlink"/>
          <w:b/>
          <w:bCs/>
          <w:color w:val="auto"/>
          <w:u w:val="none"/>
          <w:lang w:val="en-CA"/>
        </w:rPr>
      </w:pPr>
      <w:r w:rsidRPr="00500BCC">
        <w:rPr>
          <w:rStyle w:val="Hyperlink"/>
          <w:b/>
          <w:bCs/>
          <w:color w:val="auto"/>
          <w:u w:val="none"/>
          <w:lang w:val="en-CA"/>
        </w:rPr>
        <w:t xml:space="preserve">Document submitted to: </w:t>
      </w:r>
    </w:p>
    <w:p w14:paraId="38262EF5" w14:textId="77777777" w:rsidR="000867CB" w:rsidRPr="00500BCC" w:rsidRDefault="000867CB" w:rsidP="000867CB">
      <w:pPr>
        <w:pStyle w:val="NoSpacing"/>
        <w:rPr>
          <w:rStyle w:val="Hyperlink"/>
          <w:b/>
          <w:bCs/>
          <w:color w:val="auto"/>
          <w:u w:val="none"/>
          <w:lang w:val="en-CA"/>
        </w:rPr>
      </w:pPr>
    </w:p>
    <w:p w14:paraId="2BE451EF" w14:textId="77777777" w:rsidR="000867CB" w:rsidRPr="00500BCC" w:rsidRDefault="000867CB" w:rsidP="005E34FF">
      <w:pPr>
        <w:pStyle w:val="NoSpacing"/>
        <w:jc w:val="left"/>
        <w:rPr>
          <w:rStyle w:val="Hyperlink"/>
          <w:lang w:val="en-CA"/>
        </w:rPr>
      </w:pPr>
      <w:r w:rsidRPr="00500BCC">
        <w:rPr>
          <w:lang w:val="en-CA"/>
        </w:rPr>
        <w:t xml:space="preserve">Stéphane </w:t>
      </w:r>
      <w:proofErr w:type="spellStart"/>
      <w:r w:rsidRPr="00500BCC">
        <w:rPr>
          <w:lang w:val="en-CA"/>
        </w:rPr>
        <w:t>Couroux</w:t>
      </w:r>
      <w:proofErr w:type="spellEnd"/>
      <w:r w:rsidRPr="00500BCC">
        <w:rPr>
          <w:lang w:val="en-CA"/>
        </w:rPr>
        <w:br/>
        <w:t>Director, Transportation Division, Energy and Transportation Directorate</w:t>
      </w:r>
      <w:r w:rsidRPr="00500BCC">
        <w:rPr>
          <w:lang w:val="en-CA"/>
        </w:rPr>
        <w:br/>
        <w:t>Environmental Protection Branch</w:t>
      </w:r>
      <w:r w:rsidRPr="00500BCC">
        <w:rPr>
          <w:lang w:val="en-CA"/>
        </w:rPr>
        <w:br/>
        <w:t>Environment and Climate Change Canada</w:t>
      </w:r>
      <w:r w:rsidRPr="00500BCC">
        <w:rPr>
          <w:lang w:val="en-CA"/>
        </w:rPr>
        <w:br/>
      </w:r>
      <w:hyperlink r:id="rId14">
        <w:r w:rsidRPr="00500BCC">
          <w:rPr>
            <w:rStyle w:val="Hyperlink"/>
            <w:lang w:val="en-CA"/>
          </w:rPr>
          <w:t>infovehiculeetmoteur-vehicleandengineinfo@ec.gc.ca</w:t>
        </w:r>
      </w:hyperlink>
    </w:p>
    <w:p w14:paraId="71280AFF" w14:textId="77777777" w:rsidR="000867CB" w:rsidRPr="00500BCC" w:rsidRDefault="000867CB" w:rsidP="005E34FF">
      <w:pPr>
        <w:pStyle w:val="NoSpacing"/>
        <w:jc w:val="left"/>
        <w:rPr>
          <w:lang w:val="en-CA"/>
        </w:rPr>
      </w:pPr>
    </w:p>
    <w:p w14:paraId="283ADC4A" w14:textId="77777777" w:rsidR="000867CB" w:rsidRPr="00500BCC" w:rsidRDefault="000867CB" w:rsidP="005E34FF">
      <w:pPr>
        <w:pStyle w:val="NoSpacing"/>
        <w:jc w:val="left"/>
        <w:rPr>
          <w:rStyle w:val="Hyperlink"/>
          <w:lang w:val="en-CA"/>
        </w:rPr>
      </w:pPr>
      <w:r w:rsidRPr="00500BCC">
        <w:rPr>
          <w:lang w:val="en-CA"/>
        </w:rPr>
        <w:t>Matthew Watkinson</w:t>
      </w:r>
      <w:r w:rsidRPr="00500BCC">
        <w:rPr>
          <w:lang w:val="en-CA"/>
        </w:rPr>
        <w:br/>
        <w:t>Director, Regulatory Analysis and Valuation Division, Economic Analysis Directorate</w:t>
      </w:r>
      <w:r w:rsidRPr="00500BCC">
        <w:rPr>
          <w:lang w:val="en-CA"/>
        </w:rPr>
        <w:br/>
        <w:t>Strategic Policy Branch</w:t>
      </w:r>
      <w:r w:rsidRPr="00500BCC">
        <w:rPr>
          <w:lang w:val="en-CA"/>
        </w:rPr>
        <w:br/>
        <w:t>Environment and Climate Change Canada</w:t>
      </w:r>
      <w:r w:rsidRPr="00500BCC">
        <w:rPr>
          <w:lang w:val="en-CA"/>
        </w:rPr>
        <w:br/>
      </w:r>
      <w:hyperlink r:id="rId15">
        <w:r w:rsidRPr="00500BCC">
          <w:rPr>
            <w:rStyle w:val="Hyperlink"/>
            <w:lang w:val="en-CA"/>
          </w:rPr>
          <w:t>RAVD.DARV@ec.gc.ca</w:t>
        </w:r>
      </w:hyperlink>
    </w:p>
    <w:p w14:paraId="7521BBE6" w14:textId="77777777" w:rsidR="000867CB" w:rsidRPr="00500BCC" w:rsidRDefault="000867CB" w:rsidP="000867CB">
      <w:pPr>
        <w:pStyle w:val="NoSpacing"/>
        <w:rPr>
          <w:rStyle w:val="Hyperlink"/>
          <w:color w:val="auto"/>
          <w:lang w:val="en-CA"/>
        </w:rPr>
      </w:pPr>
    </w:p>
    <w:p w14:paraId="275874FB" w14:textId="77777777" w:rsidR="006D39E3" w:rsidRPr="00500BCC" w:rsidRDefault="006D39E3" w:rsidP="50657CFB">
      <w:pPr>
        <w:pBdr>
          <w:bottom w:val="single" w:sz="4" w:space="1" w:color="auto"/>
        </w:pBdr>
        <w:spacing w:after="0"/>
        <w:rPr>
          <w:lang w:val="en-CA" w:eastAsia="en-CA"/>
        </w:rPr>
      </w:pPr>
    </w:p>
    <w:p w14:paraId="02FF3ED3" w14:textId="77777777" w:rsidR="00CF76ED" w:rsidRPr="00500BCC" w:rsidRDefault="00CF76ED" w:rsidP="00D6685B">
      <w:pPr>
        <w:rPr>
          <w:lang w:val="en-CA" w:eastAsia="en-CA"/>
        </w:rPr>
      </w:pPr>
    </w:p>
    <w:p w14:paraId="2ED2EC7C" w14:textId="3373F809" w:rsidR="00D6685B" w:rsidRPr="00500BCC" w:rsidRDefault="00D6685B" w:rsidP="00D6685B">
      <w:pPr>
        <w:rPr>
          <w:b/>
          <w:bCs/>
          <w:color w:val="222222"/>
          <w:lang w:val="en-CA" w:eastAsia="en-CA"/>
        </w:rPr>
      </w:pPr>
      <w:r w:rsidRPr="00500BCC">
        <w:rPr>
          <w:b/>
          <w:bCs/>
          <w:lang w:val="en-CA"/>
        </w:rPr>
        <w:t>About Electric Mobility Canada</w:t>
      </w:r>
    </w:p>
    <w:p w14:paraId="6CC72A0F" w14:textId="3C698AAF" w:rsidR="00D6685B" w:rsidRPr="00500BCC" w:rsidRDefault="00D6685B" w:rsidP="00FF5976">
      <w:pPr>
        <w:jc w:val="both"/>
        <w:rPr>
          <w:color w:val="222222"/>
          <w:lang w:val="en-CA" w:eastAsia="en-CA"/>
        </w:rPr>
      </w:pPr>
      <w:r w:rsidRPr="00500BCC">
        <w:rPr>
          <w:lang w:val="en-CA"/>
        </w:rPr>
        <w:t xml:space="preserve">Founded in 2006, Electric Mobility Canada (EMC) is a national industry association that works to advance electric transportation </w:t>
      </w:r>
      <w:r w:rsidR="001D4C06" w:rsidRPr="00500BCC">
        <w:rPr>
          <w:lang w:val="en-CA"/>
        </w:rPr>
        <w:t>to</w:t>
      </w:r>
      <w:r w:rsidRPr="00500BCC">
        <w:rPr>
          <w:lang w:val="en-CA"/>
        </w:rPr>
        <w:t xml:space="preserve"> support the Canadian economy while fighting climate change and air pollution. With more than 1</w:t>
      </w:r>
      <w:r w:rsidR="004370C3" w:rsidRPr="00500BCC">
        <w:rPr>
          <w:lang w:val="en-CA"/>
        </w:rPr>
        <w:t>50</w:t>
      </w:r>
      <w:r w:rsidRPr="00500BCC">
        <w:rPr>
          <w:lang w:val="en-CA"/>
        </w:rPr>
        <w:t xml:space="preserve"> member organizations, EMC includes light-, medium-, heavy-duty, and off-road vehicle manufacturers; utilities; infrastructure providers; technology companies; mining companies; research centres; cities; governments; universities; unions; </w:t>
      </w:r>
      <w:r w:rsidR="00E34E81" w:rsidRPr="00500BCC">
        <w:rPr>
          <w:lang w:val="en-CA"/>
        </w:rPr>
        <w:t xml:space="preserve">fleet managers; </w:t>
      </w:r>
      <w:r w:rsidRPr="00500BCC">
        <w:rPr>
          <w:lang w:val="en-CA"/>
        </w:rPr>
        <w:t>environmental organizations and electric vehicle owners’ groups.  The EMC team helps develop electric mobility policies, programs and projects that apply to all types of EVs, from bikes to cars, from buses to boats, from trucks to trains. </w:t>
      </w:r>
    </w:p>
    <w:p w14:paraId="2FA57990" w14:textId="77777777" w:rsidR="00D6685B" w:rsidRPr="00500BCC" w:rsidRDefault="00D6685B" w:rsidP="00FF5976">
      <w:pPr>
        <w:jc w:val="both"/>
        <w:rPr>
          <w:color w:val="222222"/>
          <w:lang w:val="en-CA" w:eastAsia="en-CA"/>
        </w:rPr>
      </w:pPr>
      <w:r w:rsidRPr="00500BCC">
        <w:rPr>
          <w:lang w:val="en-CA"/>
        </w:rPr>
        <w:t>Electric Mobility Canada is</w:t>
      </w:r>
      <w:r w:rsidRPr="00500BCC">
        <w:rPr>
          <w:i/>
          <w:iCs/>
          <w:lang w:val="en-CA"/>
        </w:rPr>
        <w:t> </w:t>
      </w:r>
      <w:r w:rsidRPr="00500BCC">
        <w:rPr>
          <w:lang w:val="en-CA"/>
        </w:rPr>
        <w:t>the</w:t>
      </w:r>
      <w:r w:rsidRPr="00500BCC">
        <w:rPr>
          <w:i/>
          <w:iCs/>
          <w:lang w:val="en-CA"/>
        </w:rPr>
        <w:t> </w:t>
      </w:r>
      <w:r w:rsidRPr="00500BCC">
        <w:rPr>
          <w:lang w:val="en-CA"/>
        </w:rPr>
        <w:t>national voice of </w:t>
      </w:r>
      <w:r w:rsidRPr="00500BCC">
        <w:rPr>
          <w:color w:val="222222"/>
          <w:lang w:val="en-CA"/>
        </w:rPr>
        <w:t>the transportation electrification industry, from B.C. to Atlantic Canada.</w:t>
      </w:r>
    </w:p>
    <w:p w14:paraId="7A354361" w14:textId="77777777" w:rsidR="00D6685B" w:rsidRPr="00500BCC" w:rsidRDefault="00D6685B" w:rsidP="00D6685B">
      <w:pPr>
        <w:rPr>
          <w:b/>
          <w:bCs/>
          <w:lang w:val="en-CA"/>
        </w:rPr>
      </w:pPr>
      <w:r w:rsidRPr="00500BCC">
        <w:rPr>
          <w:b/>
          <w:bCs/>
          <w:lang w:val="en-CA"/>
        </w:rPr>
        <w:t xml:space="preserve">Contact information </w:t>
      </w:r>
    </w:p>
    <w:p w14:paraId="6866D7AC" w14:textId="789A0FC1" w:rsidR="00D6685B" w:rsidRPr="00500BCC" w:rsidRDefault="00D6685B" w:rsidP="00513AE0">
      <w:pPr>
        <w:pStyle w:val="Email"/>
      </w:pPr>
      <w:r w:rsidRPr="00500BCC">
        <w:t xml:space="preserve">Daniel Breton, </w:t>
      </w:r>
      <w:r w:rsidR="004A2E74" w:rsidRPr="00500BCC">
        <w:t>President,</w:t>
      </w:r>
      <w:r w:rsidRPr="00500BCC">
        <w:t xml:space="preserve"> and CEO, </w:t>
      </w:r>
      <w:hyperlink r:id="rId16">
        <w:r w:rsidRPr="00500BCC">
          <w:rPr>
            <w:rStyle w:val="Hyperlink"/>
          </w:rPr>
          <w:t>daniel.breton@emc-mec.ca</w:t>
        </w:r>
      </w:hyperlink>
    </w:p>
    <w:p w14:paraId="0337F945" w14:textId="3EB34C6E" w:rsidR="008D1CE2" w:rsidRPr="00500BCC" w:rsidRDefault="00D6685B" w:rsidP="008D1CE2">
      <w:pPr>
        <w:spacing w:after="0"/>
        <w:rPr>
          <w:lang w:val="en-CA"/>
        </w:rPr>
      </w:pPr>
      <w:r w:rsidRPr="00500BCC">
        <w:rPr>
          <w:lang w:val="en-CA"/>
        </w:rPr>
        <w:t xml:space="preserve">Louise Levesque, Policy Director, </w:t>
      </w:r>
      <w:hyperlink r:id="rId17">
        <w:r w:rsidRPr="00500BCC">
          <w:rPr>
            <w:rStyle w:val="Hyperlink"/>
            <w:lang w:val="en-CA"/>
          </w:rPr>
          <w:t>louise.levesque@emc-mec.ca</w:t>
        </w:r>
      </w:hyperlink>
    </w:p>
    <w:p w14:paraId="1AC4B4A2" w14:textId="69F28A2C" w:rsidR="008D1CE2" w:rsidRPr="00500BCC" w:rsidRDefault="008D1CE2" w:rsidP="00D6685B">
      <w:pPr>
        <w:rPr>
          <w:lang w:val="en-CA"/>
        </w:rPr>
      </w:pPr>
      <w:r w:rsidRPr="00500BCC">
        <w:rPr>
          <w:lang w:val="en-CA"/>
        </w:rPr>
        <w:t xml:space="preserve">Bora Plumptre, Research Director, </w:t>
      </w:r>
      <w:hyperlink r:id="rId18">
        <w:r w:rsidRPr="00500BCC">
          <w:rPr>
            <w:rStyle w:val="Hyperlink"/>
            <w:lang w:val="en-CA"/>
          </w:rPr>
          <w:t>bora.plumptre@emc-mec.ca</w:t>
        </w:r>
      </w:hyperlink>
      <w:r w:rsidRPr="00500BCC">
        <w:rPr>
          <w:lang w:val="en-CA"/>
        </w:rPr>
        <w:t xml:space="preserve"> </w:t>
      </w:r>
    </w:p>
    <w:p w14:paraId="28248BF6" w14:textId="27F0D174" w:rsidR="00892637" w:rsidRPr="00500BCC" w:rsidRDefault="00D6685B" w:rsidP="00892637">
      <w:pPr>
        <w:rPr>
          <w:rStyle w:val="Hyperlink"/>
          <w:lang w:val="en-CA"/>
        </w:rPr>
      </w:pPr>
      <w:r w:rsidRPr="00500BCC">
        <w:rPr>
          <w:lang w:val="en-CA"/>
        </w:rPr>
        <w:t xml:space="preserve">EMC website: </w:t>
      </w:r>
      <w:hyperlink r:id="rId19">
        <w:r w:rsidRPr="00500BCC">
          <w:rPr>
            <w:rStyle w:val="Hyperlink"/>
            <w:lang w:val="en-CA"/>
          </w:rPr>
          <w:t>https://emc-mec.ca/</w:t>
        </w:r>
      </w:hyperlink>
    </w:p>
    <w:p w14:paraId="714F6F07" w14:textId="77777777" w:rsidR="0034320E" w:rsidRPr="00500BCC" w:rsidRDefault="0034320E" w:rsidP="50657CFB">
      <w:pPr>
        <w:pBdr>
          <w:bottom w:val="single" w:sz="4" w:space="1" w:color="auto"/>
        </w:pBdr>
        <w:rPr>
          <w:rStyle w:val="Hyperlink"/>
          <w:color w:val="auto"/>
          <w:lang w:val="en-CA"/>
        </w:rPr>
      </w:pPr>
    </w:p>
    <w:p w14:paraId="7E01221A" w14:textId="0D3625A9" w:rsidR="00962DD2" w:rsidRPr="00500BCC" w:rsidRDefault="00962DD2">
      <w:pPr>
        <w:rPr>
          <w:sz w:val="20"/>
          <w:szCs w:val="20"/>
          <w:lang w:val="en-CA"/>
        </w:rPr>
      </w:pPr>
      <w:r w:rsidRPr="00500BCC">
        <w:rPr>
          <w:sz w:val="20"/>
          <w:szCs w:val="20"/>
          <w:lang w:val="en-CA"/>
        </w:rPr>
        <w:br w:type="page"/>
      </w:r>
    </w:p>
    <w:p w14:paraId="6AC32516" w14:textId="77777777" w:rsidR="003115C8" w:rsidRPr="00500BCC" w:rsidRDefault="003115C8" w:rsidP="002C3CDD">
      <w:pPr>
        <w:pStyle w:val="NoSpacing"/>
        <w:rPr>
          <w:lang w:val="en-CA"/>
        </w:rPr>
      </w:pPr>
    </w:p>
    <w:sdt>
      <w:sdtPr>
        <w:rPr>
          <w:rFonts w:asciiTheme="minorHAnsi" w:eastAsiaTheme="minorHAnsi" w:hAnsiTheme="minorHAnsi" w:cstheme="minorBidi"/>
          <w:color w:val="auto"/>
          <w:sz w:val="22"/>
          <w:szCs w:val="22"/>
          <w:lang w:val="en-US" w:eastAsia="en-US"/>
        </w:rPr>
        <w:id w:val="-892741191"/>
        <w:docPartObj>
          <w:docPartGallery w:val="Table of Contents"/>
          <w:docPartUnique/>
        </w:docPartObj>
      </w:sdtPr>
      <w:sdtEndPr>
        <w:rPr>
          <w:b/>
        </w:rPr>
      </w:sdtEndPr>
      <w:sdtContent>
        <w:p w14:paraId="0E6D1213" w14:textId="73FDA9B8" w:rsidR="004B75D0" w:rsidRPr="00500BCC" w:rsidRDefault="004B75D0" w:rsidP="50657CFB">
          <w:pPr>
            <w:pStyle w:val="TOCHeading"/>
          </w:pPr>
          <w:r w:rsidRPr="00500BCC">
            <w:t>Table of Contents</w:t>
          </w:r>
        </w:p>
        <w:p w14:paraId="258CFF61" w14:textId="0133EF98" w:rsidR="008437B6" w:rsidRDefault="004B75D0">
          <w:pPr>
            <w:pStyle w:val="TOC1"/>
            <w:rPr>
              <w:rFonts w:eastAsiaTheme="minorEastAsia"/>
              <w:noProof/>
              <w:lang w:val="fr-CA" w:eastAsia="fr-CA"/>
            </w:rPr>
          </w:pPr>
          <w:r w:rsidRPr="00500BCC">
            <w:rPr>
              <w:lang w:val="en-CA"/>
            </w:rPr>
            <w:fldChar w:fldCharType="begin"/>
          </w:r>
          <w:r w:rsidRPr="00500BCC">
            <w:rPr>
              <w:lang w:val="en-CA"/>
            </w:rPr>
            <w:instrText xml:space="preserve"> TOC \o "1-3" \h \z \u </w:instrText>
          </w:r>
          <w:r w:rsidRPr="00500BCC">
            <w:rPr>
              <w:lang w:val="en-CA"/>
            </w:rPr>
            <w:fldChar w:fldCharType="separate"/>
          </w:r>
          <w:hyperlink w:anchor="_Toc129792096" w:history="1">
            <w:r w:rsidR="008437B6" w:rsidRPr="0019662F">
              <w:rPr>
                <w:rStyle w:val="Hyperlink"/>
                <w:noProof/>
              </w:rPr>
              <w:t>1</w:t>
            </w:r>
            <w:r w:rsidR="008437B6">
              <w:rPr>
                <w:rFonts w:eastAsiaTheme="minorEastAsia"/>
                <w:noProof/>
                <w:lang w:val="fr-CA" w:eastAsia="fr-CA"/>
              </w:rPr>
              <w:tab/>
            </w:r>
            <w:r w:rsidR="008437B6" w:rsidRPr="0019662F">
              <w:rPr>
                <w:rStyle w:val="Hyperlink"/>
                <w:noProof/>
              </w:rPr>
              <w:t>Introduction</w:t>
            </w:r>
            <w:r w:rsidR="008437B6">
              <w:rPr>
                <w:noProof/>
                <w:webHidden/>
              </w:rPr>
              <w:tab/>
            </w:r>
            <w:r w:rsidR="008437B6">
              <w:rPr>
                <w:noProof/>
                <w:webHidden/>
              </w:rPr>
              <w:fldChar w:fldCharType="begin"/>
            </w:r>
            <w:r w:rsidR="008437B6">
              <w:rPr>
                <w:noProof/>
                <w:webHidden/>
              </w:rPr>
              <w:instrText xml:space="preserve"> PAGEREF _Toc129792096 \h </w:instrText>
            </w:r>
            <w:r w:rsidR="008437B6">
              <w:rPr>
                <w:noProof/>
                <w:webHidden/>
              </w:rPr>
            </w:r>
            <w:r w:rsidR="008437B6">
              <w:rPr>
                <w:noProof/>
                <w:webHidden/>
              </w:rPr>
              <w:fldChar w:fldCharType="separate"/>
            </w:r>
            <w:r w:rsidR="008437B6">
              <w:rPr>
                <w:noProof/>
                <w:webHidden/>
              </w:rPr>
              <w:t>3</w:t>
            </w:r>
            <w:r w:rsidR="008437B6">
              <w:rPr>
                <w:noProof/>
                <w:webHidden/>
              </w:rPr>
              <w:fldChar w:fldCharType="end"/>
            </w:r>
          </w:hyperlink>
        </w:p>
        <w:p w14:paraId="2D2E05A1" w14:textId="259E6E1B" w:rsidR="008437B6" w:rsidRDefault="00000000">
          <w:pPr>
            <w:pStyle w:val="TOC2"/>
            <w:rPr>
              <w:rFonts w:eastAsiaTheme="minorEastAsia"/>
              <w:noProof/>
              <w:lang w:val="fr-CA" w:eastAsia="fr-CA"/>
            </w:rPr>
          </w:pPr>
          <w:hyperlink w:anchor="_Toc129792097" w:history="1">
            <w:r w:rsidR="008437B6" w:rsidRPr="0019662F">
              <w:rPr>
                <w:rStyle w:val="Hyperlink"/>
                <w:noProof/>
              </w:rPr>
              <w:t>1.1</w:t>
            </w:r>
            <w:r w:rsidR="008437B6">
              <w:rPr>
                <w:rFonts w:eastAsiaTheme="minorEastAsia"/>
                <w:noProof/>
                <w:lang w:val="fr-CA" w:eastAsia="fr-CA"/>
              </w:rPr>
              <w:tab/>
            </w:r>
            <w:r w:rsidR="008437B6" w:rsidRPr="0019662F">
              <w:rPr>
                <w:rStyle w:val="Hyperlink"/>
                <w:noProof/>
              </w:rPr>
              <w:t>Why EMC supports adopting ZEV sales regulations for Canada</w:t>
            </w:r>
            <w:r w:rsidR="008437B6">
              <w:rPr>
                <w:noProof/>
                <w:webHidden/>
              </w:rPr>
              <w:tab/>
            </w:r>
            <w:r w:rsidR="008437B6">
              <w:rPr>
                <w:noProof/>
                <w:webHidden/>
              </w:rPr>
              <w:fldChar w:fldCharType="begin"/>
            </w:r>
            <w:r w:rsidR="008437B6">
              <w:rPr>
                <w:noProof/>
                <w:webHidden/>
              </w:rPr>
              <w:instrText xml:space="preserve"> PAGEREF _Toc129792097 \h </w:instrText>
            </w:r>
            <w:r w:rsidR="008437B6">
              <w:rPr>
                <w:noProof/>
                <w:webHidden/>
              </w:rPr>
            </w:r>
            <w:r w:rsidR="008437B6">
              <w:rPr>
                <w:noProof/>
                <w:webHidden/>
              </w:rPr>
              <w:fldChar w:fldCharType="separate"/>
            </w:r>
            <w:r w:rsidR="008437B6">
              <w:rPr>
                <w:noProof/>
                <w:webHidden/>
              </w:rPr>
              <w:t>3</w:t>
            </w:r>
            <w:r w:rsidR="008437B6">
              <w:rPr>
                <w:noProof/>
                <w:webHidden/>
              </w:rPr>
              <w:fldChar w:fldCharType="end"/>
            </w:r>
          </w:hyperlink>
        </w:p>
        <w:p w14:paraId="599ABFB6" w14:textId="62DBB7DA" w:rsidR="008437B6" w:rsidRDefault="00000000">
          <w:pPr>
            <w:pStyle w:val="TOC2"/>
            <w:rPr>
              <w:rFonts w:eastAsiaTheme="minorEastAsia"/>
              <w:noProof/>
              <w:lang w:val="fr-CA" w:eastAsia="fr-CA"/>
            </w:rPr>
          </w:pPr>
          <w:hyperlink w:anchor="_Toc129792098" w:history="1">
            <w:r w:rsidR="008437B6" w:rsidRPr="0019662F">
              <w:rPr>
                <w:rStyle w:val="Hyperlink"/>
                <w:noProof/>
              </w:rPr>
              <w:t>1.2</w:t>
            </w:r>
            <w:r w:rsidR="008437B6">
              <w:rPr>
                <w:rFonts w:eastAsiaTheme="minorEastAsia"/>
                <w:noProof/>
                <w:lang w:val="fr-CA" w:eastAsia="fr-CA"/>
              </w:rPr>
              <w:tab/>
            </w:r>
            <w:r w:rsidR="008437B6" w:rsidRPr="0019662F">
              <w:rPr>
                <w:rStyle w:val="Hyperlink"/>
                <w:noProof/>
              </w:rPr>
              <w:t>Assessing the proposed regulations</w:t>
            </w:r>
            <w:r w:rsidR="008437B6">
              <w:rPr>
                <w:noProof/>
                <w:webHidden/>
              </w:rPr>
              <w:tab/>
            </w:r>
            <w:r w:rsidR="008437B6">
              <w:rPr>
                <w:noProof/>
                <w:webHidden/>
              </w:rPr>
              <w:fldChar w:fldCharType="begin"/>
            </w:r>
            <w:r w:rsidR="008437B6">
              <w:rPr>
                <w:noProof/>
                <w:webHidden/>
              </w:rPr>
              <w:instrText xml:space="preserve"> PAGEREF _Toc129792098 \h </w:instrText>
            </w:r>
            <w:r w:rsidR="008437B6">
              <w:rPr>
                <w:noProof/>
                <w:webHidden/>
              </w:rPr>
            </w:r>
            <w:r w:rsidR="008437B6">
              <w:rPr>
                <w:noProof/>
                <w:webHidden/>
              </w:rPr>
              <w:fldChar w:fldCharType="separate"/>
            </w:r>
            <w:r w:rsidR="008437B6">
              <w:rPr>
                <w:noProof/>
                <w:webHidden/>
              </w:rPr>
              <w:t>5</w:t>
            </w:r>
            <w:r w:rsidR="008437B6">
              <w:rPr>
                <w:noProof/>
                <w:webHidden/>
              </w:rPr>
              <w:fldChar w:fldCharType="end"/>
            </w:r>
          </w:hyperlink>
        </w:p>
        <w:p w14:paraId="20B99B3C" w14:textId="6CD1CE65" w:rsidR="008437B6" w:rsidRDefault="00000000">
          <w:pPr>
            <w:pStyle w:val="TOC2"/>
            <w:rPr>
              <w:rFonts w:eastAsiaTheme="minorEastAsia"/>
              <w:noProof/>
              <w:lang w:val="fr-CA" w:eastAsia="fr-CA"/>
            </w:rPr>
          </w:pPr>
          <w:hyperlink w:anchor="_Toc129792099" w:history="1">
            <w:r w:rsidR="008437B6" w:rsidRPr="0019662F">
              <w:rPr>
                <w:rStyle w:val="Hyperlink"/>
                <w:noProof/>
              </w:rPr>
              <w:t>1.3</w:t>
            </w:r>
            <w:r w:rsidR="008437B6">
              <w:rPr>
                <w:rFonts w:eastAsiaTheme="minorEastAsia"/>
                <w:noProof/>
                <w:lang w:val="fr-CA" w:eastAsia="fr-CA"/>
              </w:rPr>
              <w:tab/>
            </w:r>
            <w:r w:rsidR="008437B6" w:rsidRPr="0019662F">
              <w:rPr>
                <w:rStyle w:val="Hyperlink"/>
                <w:noProof/>
              </w:rPr>
              <w:t>Summary of recommendations</w:t>
            </w:r>
            <w:r w:rsidR="008437B6">
              <w:rPr>
                <w:noProof/>
                <w:webHidden/>
              </w:rPr>
              <w:tab/>
            </w:r>
            <w:r w:rsidR="008437B6">
              <w:rPr>
                <w:noProof/>
                <w:webHidden/>
              </w:rPr>
              <w:fldChar w:fldCharType="begin"/>
            </w:r>
            <w:r w:rsidR="008437B6">
              <w:rPr>
                <w:noProof/>
                <w:webHidden/>
              </w:rPr>
              <w:instrText xml:space="preserve"> PAGEREF _Toc129792099 \h </w:instrText>
            </w:r>
            <w:r w:rsidR="008437B6">
              <w:rPr>
                <w:noProof/>
                <w:webHidden/>
              </w:rPr>
            </w:r>
            <w:r w:rsidR="008437B6">
              <w:rPr>
                <w:noProof/>
                <w:webHidden/>
              </w:rPr>
              <w:fldChar w:fldCharType="separate"/>
            </w:r>
            <w:r w:rsidR="008437B6">
              <w:rPr>
                <w:noProof/>
                <w:webHidden/>
              </w:rPr>
              <w:t>5</w:t>
            </w:r>
            <w:r w:rsidR="008437B6">
              <w:rPr>
                <w:noProof/>
                <w:webHidden/>
              </w:rPr>
              <w:fldChar w:fldCharType="end"/>
            </w:r>
          </w:hyperlink>
        </w:p>
        <w:p w14:paraId="0B8518C7" w14:textId="3FA50D30" w:rsidR="008437B6" w:rsidRDefault="00000000">
          <w:pPr>
            <w:pStyle w:val="TOC1"/>
            <w:rPr>
              <w:rFonts w:eastAsiaTheme="minorEastAsia"/>
              <w:noProof/>
              <w:lang w:val="fr-CA" w:eastAsia="fr-CA"/>
            </w:rPr>
          </w:pPr>
          <w:hyperlink w:anchor="_Toc129792100" w:history="1">
            <w:r w:rsidR="008437B6" w:rsidRPr="0019662F">
              <w:rPr>
                <w:rStyle w:val="Hyperlink"/>
                <w:noProof/>
              </w:rPr>
              <w:t>2</w:t>
            </w:r>
            <w:r w:rsidR="008437B6">
              <w:rPr>
                <w:rFonts w:eastAsiaTheme="minorEastAsia"/>
                <w:noProof/>
                <w:lang w:val="fr-CA" w:eastAsia="fr-CA"/>
              </w:rPr>
              <w:tab/>
            </w:r>
            <w:r w:rsidR="008437B6" w:rsidRPr="0019662F">
              <w:rPr>
                <w:rStyle w:val="Hyperlink"/>
                <w:noProof/>
              </w:rPr>
              <w:t>EMC Comments and Recommendations on the Regulatory Impact Analysis Statement</w:t>
            </w:r>
            <w:r w:rsidR="008437B6">
              <w:rPr>
                <w:noProof/>
                <w:webHidden/>
              </w:rPr>
              <w:tab/>
            </w:r>
            <w:r w:rsidR="008437B6">
              <w:rPr>
                <w:noProof/>
                <w:webHidden/>
              </w:rPr>
              <w:fldChar w:fldCharType="begin"/>
            </w:r>
            <w:r w:rsidR="008437B6">
              <w:rPr>
                <w:noProof/>
                <w:webHidden/>
              </w:rPr>
              <w:instrText xml:space="preserve"> PAGEREF _Toc129792100 \h </w:instrText>
            </w:r>
            <w:r w:rsidR="008437B6">
              <w:rPr>
                <w:noProof/>
                <w:webHidden/>
              </w:rPr>
            </w:r>
            <w:r w:rsidR="008437B6">
              <w:rPr>
                <w:noProof/>
                <w:webHidden/>
              </w:rPr>
              <w:fldChar w:fldCharType="separate"/>
            </w:r>
            <w:r w:rsidR="008437B6">
              <w:rPr>
                <w:noProof/>
                <w:webHidden/>
              </w:rPr>
              <w:t>6</w:t>
            </w:r>
            <w:r w:rsidR="008437B6">
              <w:rPr>
                <w:noProof/>
                <w:webHidden/>
              </w:rPr>
              <w:fldChar w:fldCharType="end"/>
            </w:r>
          </w:hyperlink>
        </w:p>
        <w:p w14:paraId="0C1444D1" w14:textId="7FCAD025" w:rsidR="008437B6" w:rsidRDefault="00000000">
          <w:pPr>
            <w:pStyle w:val="TOC2"/>
            <w:rPr>
              <w:rFonts w:eastAsiaTheme="minorEastAsia"/>
              <w:noProof/>
              <w:lang w:val="fr-CA" w:eastAsia="fr-CA"/>
            </w:rPr>
          </w:pPr>
          <w:hyperlink w:anchor="_Toc129792101" w:history="1">
            <w:r w:rsidR="008437B6" w:rsidRPr="0019662F">
              <w:rPr>
                <w:rStyle w:val="Hyperlink"/>
                <w:noProof/>
              </w:rPr>
              <w:t>2.1</w:t>
            </w:r>
            <w:r w:rsidR="008437B6">
              <w:rPr>
                <w:rFonts w:eastAsiaTheme="minorEastAsia"/>
                <w:noProof/>
                <w:lang w:val="fr-CA" w:eastAsia="fr-CA"/>
              </w:rPr>
              <w:tab/>
            </w:r>
            <w:r w:rsidR="008437B6" w:rsidRPr="0019662F">
              <w:rPr>
                <w:rStyle w:val="Hyperlink"/>
                <w:noProof/>
              </w:rPr>
              <w:t>General Comments</w:t>
            </w:r>
            <w:r w:rsidR="008437B6">
              <w:rPr>
                <w:noProof/>
                <w:webHidden/>
              </w:rPr>
              <w:tab/>
            </w:r>
            <w:r w:rsidR="008437B6">
              <w:rPr>
                <w:noProof/>
                <w:webHidden/>
              </w:rPr>
              <w:fldChar w:fldCharType="begin"/>
            </w:r>
            <w:r w:rsidR="008437B6">
              <w:rPr>
                <w:noProof/>
                <w:webHidden/>
              </w:rPr>
              <w:instrText xml:space="preserve"> PAGEREF _Toc129792101 \h </w:instrText>
            </w:r>
            <w:r w:rsidR="008437B6">
              <w:rPr>
                <w:noProof/>
                <w:webHidden/>
              </w:rPr>
            </w:r>
            <w:r w:rsidR="008437B6">
              <w:rPr>
                <w:noProof/>
                <w:webHidden/>
              </w:rPr>
              <w:fldChar w:fldCharType="separate"/>
            </w:r>
            <w:r w:rsidR="008437B6">
              <w:rPr>
                <w:noProof/>
                <w:webHidden/>
              </w:rPr>
              <w:t>6</w:t>
            </w:r>
            <w:r w:rsidR="008437B6">
              <w:rPr>
                <w:noProof/>
                <w:webHidden/>
              </w:rPr>
              <w:fldChar w:fldCharType="end"/>
            </w:r>
          </w:hyperlink>
        </w:p>
        <w:p w14:paraId="00A0B416" w14:textId="4A43B5CB" w:rsidR="008437B6" w:rsidRDefault="00000000">
          <w:pPr>
            <w:pStyle w:val="TOC2"/>
            <w:rPr>
              <w:rFonts w:eastAsiaTheme="minorEastAsia"/>
              <w:noProof/>
              <w:lang w:val="fr-CA" w:eastAsia="fr-CA"/>
            </w:rPr>
          </w:pPr>
          <w:hyperlink w:anchor="_Toc129792102" w:history="1">
            <w:r w:rsidR="008437B6" w:rsidRPr="0019662F">
              <w:rPr>
                <w:rStyle w:val="Hyperlink"/>
                <w:noProof/>
              </w:rPr>
              <w:t>2.2</w:t>
            </w:r>
            <w:r w:rsidR="008437B6">
              <w:rPr>
                <w:rFonts w:eastAsiaTheme="minorEastAsia"/>
                <w:noProof/>
                <w:lang w:val="fr-CA" w:eastAsia="fr-CA"/>
              </w:rPr>
              <w:tab/>
            </w:r>
            <w:r w:rsidR="008437B6" w:rsidRPr="0019662F">
              <w:rPr>
                <w:rStyle w:val="Hyperlink"/>
                <w:noProof/>
              </w:rPr>
              <w:t>Executive summary section</w:t>
            </w:r>
            <w:r w:rsidR="008437B6">
              <w:rPr>
                <w:noProof/>
                <w:webHidden/>
              </w:rPr>
              <w:tab/>
            </w:r>
            <w:r w:rsidR="008437B6">
              <w:rPr>
                <w:noProof/>
                <w:webHidden/>
              </w:rPr>
              <w:fldChar w:fldCharType="begin"/>
            </w:r>
            <w:r w:rsidR="008437B6">
              <w:rPr>
                <w:noProof/>
                <w:webHidden/>
              </w:rPr>
              <w:instrText xml:space="preserve"> PAGEREF _Toc129792102 \h </w:instrText>
            </w:r>
            <w:r w:rsidR="008437B6">
              <w:rPr>
                <w:noProof/>
                <w:webHidden/>
              </w:rPr>
            </w:r>
            <w:r w:rsidR="008437B6">
              <w:rPr>
                <w:noProof/>
                <w:webHidden/>
              </w:rPr>
              <w:fldChar w:fldCharType="separate"/>
            </w:r>
            <w:r w:rsidR="008437B6">
              <w:rPr>
                <w:noProof/>
                <w:webHidden/>
              </w:rPr>
              <w:t>6</w:t>
            </w:r>
            <w:r w:rsidR="008437B6">
              <w:rPr>
                <w:noProof/>
                <w:webHidden/>
              </w:rPr>
              <w:fldChar w:fldCharType="end"/>
            </w:r>
          </w:hyperlink>
        </w:p>
        <w:p w14:paraId="30295F46" w14:textId="056E06E8" w:rsidR="008437B6" w:rsidRDefault="00000000">
          <w:pPr>
            <w:pStyle w:val="TOC2"/>
            <w:rPr>
              <w:rFonts w:eastAsiaTheme="minorEastAsia"/>
              <w:noProof/>
              <w:lang w:val="fr-CA" w:eastAsia="fr-CA"/>
            </w:rPr>
          </w:pPr>
          <w:hyperlink w:anchor="_Toc129792103" w:history="1">
            <w:r w:rsidR="008437B6" w:rsidRPr="0019662F">
              <w:rPr>
                <w:rStyle w:val="Hyperlink"/>
                <w:noProof/>
              </w:rPr>
              <w:t>2.3</w:t>
            </w:r>
            <w:r w:rsidR="008437B6">
              <w:rPr>
                <w:rFonts w:eastAsiaTheme="minorEastAsia"/>
                <w:noProof/>
                <w:lang w:val="fr-CA" w:eastAsia="fr-CA"/>
              </w:rPr>
              <w:tab/>
            </w:r>
            <w:r w:rsidR="008437B6" w:rsidRPr="0019662F">
              <w:rPr>
                <w:rStyle w:val="Hyperlink"/>
                <w:noProof/>
              </w:rPr>
              <w:t>Objective section</w:t>
            </w:r>
            <w:r w:rsidR="008437B6">
              <w:rPr>
                <w:noProof/>
                <w:webHidden/>
              </w:rPr>
              <w:tab/>
            </w:r>
            <w:r w:rsidR="008437B6">
              <w:rPr>
                <w:noProof/>
                <w:webHidden/>
              </w:rPr>
              <w:fldChar w:fldCharType="begin"/>
            </w:r>
            <w:r w:rsidR="008437B6">
              <w:rPr>
                <w:noProof/>
                <w:webHidden/>
              </w:rPr>
              <w:instrText xml:space="preserve"> PAGEREF _Toc129792103 \h </w:instrText>
            </w:r>
            <w:r w:rsidR="008437B6">
              <w:rPr>
                <w:noProof/>
                <w:webHidden/>
              </w:rPr>
            </w:r>
            <w:r w:rsidR="008437B6">
              <w:rPr>
                <w:noProof/>
                <w:webHidden/>
              </w:rPr>
              <w:fldChar w:fldCharType="separate"/>
            </w:r>
            <w:r w:rsidR="008437B6">
              <w:rPr>
                <w:noProof/>
                <w:webHidden/>
              </w:rPr>
              <w:t>6</w:t>
            </w:r>
            <w:r w:rsidR="008437B6">
              <w:rPr>
                <w:noProof/>
                <w:webHidden/>
              </w:rPr>
              <w:fldChar w:fldCharType="end"/>
            </w:r>
          </w:hyperlink>
        </w:p>
        <w:p w14:paraId="3E38CB82" w14:textId="33ABD866" w:rsidR="008437B6" w:rsidRDefault="00000000">
          <w:pPr>
            <w:pStyle w:val="TOC2"/>
            <w:rPr>
              <w:rFonts w:eastAsiaTheme="minorEastAsia"/>
              <w:noProof/>
              <w:lang w:val="fr-CA" w:eastAsia="fr-CA"/>
            </w:rPr>
          </w:pPr>
          <w:hyperlink w:anchor="_Toc129792104" w:history="1">
            <w:r w:rsidR="008437B6" w:rsidRPr="0019662F">
              <w:rPr>
                <w:rStyle w:val="Hyperlink"/>
                <w:noProof/>
              </w:rPr>
              <w:t>2.4</w:t>
            </w:r>
            <w:r w:rsidR="008437B6">
              <w:rPr>
                <w:rFonts w:eastAsiaTheme="minorEastAsia"/>
                <w:noProof/>
                <w:lang w:val="fr-CA" w:eastAsia="fr-CA"/>
              </w:rPr>
              <w:tab/>
            </w:r>
            <w:r w:rsidR="008437B6" w:rsidRPr="0019662F">
              <w:rPr>
                <w:rStyle w:val="Hyperlink"/>
                <w:noProof/>
              </w:rPr>
              <w:t>Description section</w:t>
            </w:r>
            <w:r w:rsidR="008437B6">
              <w:rPr>
                <w:noProof/>
                <w:webHidden/>
              </w:rPr>
              <w:tab/>
            </w:r>
            <w:r w:rsidR="008437B6">
              <w:rPr>
                <w:noProof/>
                <w:webHidden/>
              </w:rPr>
              <w:fldChar w:fldCharType="begin"/>
            </w:r>
            <w:r w:rsidR="008437B6">
              <w:rPr>
                <w:noProof/>
                <w:webHidden/>
              </w:rPr>
              <w:instrText xml:space="preserve"> PAGEREF _Toc129792104 \h </w:instrText>
            </w:r>
            <w:r w:rsidR="008437B6">
              <w:rPr>
                <w:noProof/>
                <w:webHidden/>
              </w:rPr>
            </w:r>
            <w:r w:rsidR="008437B6">
              <w:rPr>
                <w:noProof/>
                <w:webHidden/>
              </w:rPr>
              <w:fldChar w:fldCharType="separate"/>
            </w:r>
            <w:r w:rsidR="008437B6">
              <w:rPr>
                <w:noProof/>
                <w:webHidden/>
              </w:rPr>
              <w:t>7</w:t>
            </w:r>
            <w:r w:rsidR="008437B6">
              <w:rPr>
                <w:noProof/>
                <w:webHidden/>
              </w:rPr>
              <w:fldChar w:fldCharType="end"/>
            </w:r>
          </w:hyperlink>
        </w:p>
        <w:p w14:paraId="23E41FB8" w14:textId="70738F6D" w:rsidR="008437B6" w:rsidRDefault="00000000">
          <w:pPr>
            <w:pStyle w:val="TOC3"/>
            <w:tabs>
              <w:tab w:val="left" w:pos="1320"/>
              <w:tab w:val="right" w:leader="dot" w:pos="10070"/>
            </w:tabs>
            <w:rPr>
              <w:rFonts w:eastAsiaTheme="minorEastAsia"/>
              <w:noProof/>
              <w:lang w:val="fr-CA" w:eastAsia="fr-CA"/>
            </w:rPr>
          </w:pPr>
          <w:hyperlink w:anchor="_Toc129792105" w:history="1">
            <w:r w:rsidR="008437B6" w:rsidRPr="0019662F">
              <w:rPr>
                <w:rStyle w:val="Hyperlink"/>
                <w:noProof/>
              </w:rPr>
              <w:t>2.4.1</w:t>
            </w:r>
            <w:r w:rsidR="008437B6">
              <w:rPr>
                <w:rFonts w:eastAsiaTheme="minorEastAsia"/>
                <w:noProof/>
                <w:lang w:val="fr-CA" w:eastAsia="fr-CA"/>
              </w:rPr>
              <w:tab/>
            </w:r>
            <w:r w:rsidR="008437B6" w:rsidRPr="0019662F">
              <w:rPr>
                <w:rStyle w:val="Hyperlink"/>
                <w:noProof/>
              </w:rPr>
              <w:t>ZEV Sales Targets</w:t>
            </w:r>
            <w:r w:rsidR="008437B6">
              <w:rPr>
                <w:noProof/>
                <w:webHidden/>
              </w:rPr>
              <w:tab/>
            </w:r>
            <w:r w:rsidR="008437B6">
              <w:rPr>
                <w:noProof/>
                <w:webHidden/>
              </w:rPr>
              <w:fldChar w:fldCharType="begin"/>
            </w:r>
            <w:r w:rsidR="008437B6">
              <w:rPr>
                <w:noProof/>
                <w:webHidden/>
              </w:rPr>
              <w:instrText xml:space="preserve"> PAGEREF _Toc129792105 \h </w:instrText>
            </w:r>
            <w:r w:rsidR="008437B6">
              <w:rPr>
                <w:noProof/>
                <w:webHidden/>
              </w:rPr>
            </w:r>
            <w:r w:rsidR="008437B6">
              <w:rPr>
                <w:noProof/>
                <w:webHidden/>
              </w:rPr>
              <w:fldChar w:fldCharType="separate"/>
            </w:r>
            <w:r w:rsidR="008437B6">
              <w:rPr>
                <w:noProof/>
                <w:webHidden/>
              </w:rPr>
              <w:t>7</w:t>
            </w:r>
            <w:r w:rsidR="008437B6">
              <w:rPr>
                <w:noProof/>
                <w:webHidden/>
              </w:rPr>
              <w:fldChar w:fldCharType="end"/>
            </w:r>
          </w:hyperlink>
        </w:p>
        <w:p w14:paraId="01A19DC7" w14:textId="0CB3CC89" w:rsidR="008437B6" w:rsidRDefault="00000000">
          <w:pPr>
            <w:pStyle w:val="TOC3"/>
            <w:tabs>
              <w:tab w:val="left" w:pos="1320"/>
              <w:tab w:val="right" w:leader="dot" w:pos="10070"/>
            </w:tabs>
            <w:rPr>
              <w:rFonts w:eastAsiaTheme="minorEastAsia"/>
              <w:noProof/>
              <w:lang w:val="fr-CA" w:eastAsia="fr-CA"/>
            </w:rPr>
          </w:pPr>
          <w:hyperlink w:anchor="_Toc129792106" w:history="1">
            <w:r w:rsidR="008437B6" w:rsidRPr="0019662F">
              <w:rPr>
                <w:rStyle w:val="Hyperlink"/>
                <w:noProof/>
              </w:rPr>
              <w:t>2.4.2</w:t>
            </w:r>
            <w:r w:rsidR="008437B6">
              <w:rPr>
                <w:rFonts w:eastAsiaTheme="minorEastAsia"/>
                <w:noProof/>
                <w:lang w:val="fr-CA" w:eastAsia="fr-CA"/>
              </w:rPr>
              <w:tab/>
            </w:r>
            <w:r w:rsidR="008437B6" w:rsidRPr="0019662F">
              <w:rPr>
                <w:rStyle w:val="Hyperlink"/>
                <w:noProof/>
              </w:rPr>
              <w:t>Compliance pathways</w:t>
            </w:r>
            <w:r w:rsidR="008437B6">
              <w:rPr>
                <w:noProof/>
                <w:webHidden/>
              </w:rPr>
              <w:tab/>
            </w:r>
            <w:r w:rsidR="008437B6">
              <w:rPr>
                <w:noProof/>
                <w:webHidden/>
              </w:rPr>
              <w:fldChar w:fldCharType="begin"/>
            </w:r>
            <w:r w:rsidR="008437B6">
              <w:rPr>
                <w:noProof/>
                <w:webHidden/>
              </w:rPr>
              <w:instrText xml:space="preserve"> PAGEREF _Toc129792106 \h </w:instrText>
            </w:r>
            <w:r w:rsidR="008437B6">
              <w:rPr>
                <w:noProof/>
                <w:webHidden/>
              </w:rPr>
            </w:r>
            <w:r w:rsidR="008437B6">
              <w:rPr>
                <w:noProof/>
                <w:webHidden/>
              </w:rPr>
              <w:fldChar w:fldCharType="separate"/>
            </w:r>
            <w:r w:rsidR="008437B6">
              <w:rPr>
                <w:noProof/>
                <w:webHidden/>
              </w:rPr>
              <w:t>9</w:t>
            </w:r>
            <w:r w:rsidR="008437B6">
              <w:rPr>
                <w:noProof/>
                <w:webHidden/>
              </w:rPr>
              <w:fldChar w:fldCharType="end"/>
            </w:r>
          </w:hyperlink>
        </w:p>
        <w:p w14:paraId="302E9D28" w14:textId="4897EFCD" w:rsidR="008437B6" w:rsidRDefault="00000000">
          <w:pPr>
            <w:pStyle w:val="TOC3"/>
            <w:tabs>
              <w:tab w:val="left" w:pos="1320"/>
              <w:tab w:val="right" w:leader="dot" w:pos="10070"/>
            </w:tabs>
            <w:rPr>
              <w:rFonts w:eastAsiaTheme="minorEastAsia"/>
              <w:noProof/>
              <w:lang w:val="fr-CA" w:eastAsia="fr-CA"/>
            </w:rPr>
          </w:pPr>
          <w:hyperlink w:anchor="_Toc129792107" w:history="1">
            <w:r w:rsidR="008437B6" w:rsidRPr="0019662F">
              <w:rPr>
                <w:rStyle w:val="Hyperlink"/>
                <w:noProof/>
              </w:rPr>
              <w:t>2.4.3</w:t>
            </w:r>
            <w:r w:rsidR="008437B6">
              <w:rPr>
                <w:rFonts w:eastAsiaTheme="minorEastAsia"/>
                <w:noProof/>
                <w:lang w:val="fr-CA" w:eastAsia="fr-CA"/>
              </w:rPr>
              <w:tab/>
            </w:r>
            <w:r w:rsidR="008437B6" w:rsidRPr="0019662F">
              <w:rPr>
                <w:rStyle w:val="Hyperlink"/>
                <w:noProof/>
              </w:rPr>
              <w:t>Credit banking</w:t>
            </w:r>
            <w:r w:rsidR="008437B6">
              <w:rPr>
                <w:noProof/>
                <w:webHidden/>
              </w:rPr>
              <w:tab/>
            </w:r>
            <w:r w:rsidR="008437B6">
              <w:rPr>
                <w:noProof/>
                <w:webHidden/>
              </w:rPr>
              <w:fldChar w:fldCharType="begin"/>
            </w:r>
            <w:r w:rsidR="008437B6">
              <w:rPr>
                <w:noProof/>
                <w:webHidden/>
              </w:rPr>
              <w:instrText xml:space="preserve"> PAGEREF _Toc129792107 \h </w:instrText>
            </w:r>
            <w:r w:rsidR="008437B6">
              <w:rPr>
                <w:noProof/>
                <w:webHidden/>
              </w:rPr>
            </w:r>
            <w:r w:rsidR="008437B6">
              <w:rPr>
                <w:noProof/>
                <w:webHidden/>
              </w:rPr>
              <w:fldChar w:fldCharType="separate"/>
            </w:r>
            <w:r w:rsidR="008437B6">
              <w:rPr>
                <w:noProof/>
                <w:webHidden/>
              </w:rPr>
              <w:t>10</w:t>
            </w:r>
            <w:r w:rsidR="008437B6">
              <w:rPr>
                <w:noProof/>
                <w:webHidden/>
              </w:rPr>
              <w:fldChar w:fldCharType="end"/>
            </w:r>
          </w:hyperlink>
        </w:p>
        <w:p w14:paraId="074FD46A" w14:textId="1EA878FC" w:rsidR="008437B6" w:rsidRDefault="00000000">
          <w:pPr>
            <w:pStyle w:val="TOC3"/>
            <w:tabs>
              <w:tab w:val="left" w:pos="1320"/>
              <w:tab w:val="right" w:leader="dot" w:pos="10070"/>
            </w:tabs>
            <w:rPr>
              <w:rFonts w:eastAsiaTheme="minorEastAsia"/>
              <w:noProof/>
              <w:lang w:val="fr-CA" w:eastAsia="fr-CA"/>
            </w:rPr>
          </w:pPr>
          <w:hyperlink w:anchor="_Toc129792108" w:history="1">
            <w:r w:rsidR="008437B6" w:rsidRPr="0019662F">
              <w:rPr>
                <w:rStyle w:val="Hyperlink"/>
                <w:noProof/>
              </w:rPr>
              <w:t>2.4.4</w:t>
            </w:r>
            <w:r w:rsidR="008437B6">
              <w:rPr>
                <w:rFonts w:eastAsiaTheme="minorEastAsia"/>
                <w:noProof/>
                <w:lang w:val="fr-CA" w:eastAsia="fr-CA"/>
              </w:rPr>
              <w:tab/>
            </w:r>
            <w:r w:rsidR="008437B6" w:rsidRPr="0019662F">
              <w:rPr>
                <w:rStyle w:val="Hyperlink"/>
                <w:noProof/>
              </w:rPr>
              <w:t>Time limit to offset deficits</w:t>
            </w:r>
            <w:r w:rsidR="008437B6">
              <w:rPr>
                <w:noProof/>
                <w:webHidden/>
              </w:rPr>
              <w:tab/>
            </w:r>
            <w:r w:rsidR="008437B6">
              <w:rPr>
                <w:noProof/>
                <w:webHidden/>
              </w:rPr>
              <w:fldChar w:fldCharType="begin"/>
            </w:r>
            <w:r w:rsidR="008437B6">
              <w:rPr>
                <w:noProof/>
                <w:webHidden/>
              </w:rPr>
              <w:instrText xml:space="preserve"> PAGEREF _Toc129792108 \h </w:instrText>
            </w:r>
            <w:r w:rsidR="008437B6">
              <w:rPr>
                <w:noProof/>
                <w:webHidden/>
              </w:rPr>
            </w:r>
            <w:r w:rsidR="008437B6">
              <w:rPr>
                <w:noProof/>
                <w:webHidden/>
              </w:rPr>
              <w:fldChar w:fldCharType="separate"/>
            </w:r>
            <w:r w:rsidR="008437B6">
              <w:rPr>
                <w:noProof/>
                <w:webHidden/>
              </w:rPr>
              <w:t>10</w:t>
            </w:r>
            <w:r w:rsidR="008437B6">
              <w:rPr>
                <w:noProof/>
                <w:webHidden/>
              </w:rPr>
              <w:fldChar w:fldCharType="end"/>
            </w:r>
          </w:hyperlink>
        </w:p>
        <w:p w14:paraId="1C948D10" w14:textId="0A280309" w:rsidR="008437B6" w:rsidRDefault="00000000">
          <w:pPr>
            <w:pStyle w:val="TOC2"/>
            <w:rPr>
              <w:rFonts w:eastAsiaTheme="minorEastAsia"/>
              <w:noProof/>
              <w:lang w:val="fr-CA" w:eastAsia="fr-CA"/>
            </w:rPr>
          </w:pPr>
          <w:hyperlink w:anchor="_Toc129792109" w:history="1">
            <w:r w:rsidR="008437B6" w:rsidRPr="0019662F">
              <w:rPr>
                <w:rStyle w:val="Hyperlink"/>
                <w:noProof/>
              </w:rPr>
              <w:t>2.5</w:t>
            </w:r>
            <w:r w:rsidR="008437B6">
              <w:rPr>
                <w:rFonts w:eastAsiaTheme="minorEastAsia"/>
                <w:noProof/>
                <w:lang w:val="fr-CA" w:eastAsia="fr-CA"/>
              </w:rPr>
              <w:tab/>
            </w:r>
            <w:r w:rsidR="008437B6" w:rsidRPr="0019662F">
              <w:rPr>
                <w:rStyle w:val="Hyperlink"/>
                <w:noProof/>
              </w:rPr>
              <w:t>Regulatory development section</w:t>
            </w:r>
            <w:r w:rsidR="008437B6">
              <w:rPr>
                <w:noProof/>
                <w:webHidden/>
              </w:rPr>
              <w:tab/>
            </w:r>
            <w:r w:rsidR="008437B6">
              <w:rPr>
                <w:noProof/>
                <w:webHidden/>
              </w:rPr>
              <w:fldChar w:fldCharType="begin"/>
            </w:r>
            <w:r w:rsidR="008437B6">
              <w:rPr>
                <w:noProof/>
                <w:webHidden/>
              </w:rPr>
              <w:instrText xml:space="preserve"> PAGEREF _Toc129792109 \h </w:instrText>
            </w:r>
            <w:r w:rsidR="008437B6">
              <w:rPr>
                <w:noProof/>
                <w:webHidden/>
              </w:rPr>
            </w:r>
            <w:r w:rsidR="008437B6">
              <w:rPr>
                <w:noProof/>
                <w:webHidden/>
              </w:rPr>
              <w:fldChar w:fldCharType="separate"/>
            </w:r>
            <w:r w:rsidR="008437B6">
              <w:rPr>
                <w:noProof/>
                <w:webHidden/>
              </w:rPr>
              <w:t>11</w:t>
            </w:r>
            <w:r w:rsidR="008437B6">
              <w:rPr>
                <w:noProof/>
                <w:webHidden/>
              </w:rPr>
              <w:fldChar w:fldCharType="end"/>
            </w:r>
          </w:hyperlink>
        </w:p>
        <w:p w14:paraId="09F45088" w14:textId="71748BDF" w:rsidR="008437B6" w:rsidRDefault="00000000">
          <w:pPr>
            <w:pStyle w:val="TOC3"/>
            <w:tabs>
              <w:tab w:val="left" w:pos="1320"/>
              <w:tab w:val="right" w:leader="dot" w:pos="10070"/>
            </w:tabs>
            <w:rPr>
              <w:rFonts w:eastAsiaTheme="minorEastAsia"/>
              <w:noProof/>
              <w:lang w:val="fr-CA" w:eastAsia="fr-CA"/>
            </w:rPr>
          </w:pPr>
          <w:hyperlink w:anchor="_Toc129792110" w:history="1">
            <w:r w:rsidR="008437B6" w:rsidRPr="0019662F">
              <w:rPr>
                <w:rStyle w:val="Hyperlink"/>
                <w:noProof/>
              </w:rPr>
              <w:t>2.5.1</w:t>
            </w:r>
            <w:r w:rsidR="008437B6">
              <w:rPr>
                <w:rFonts w:eastAsiaTheme="minorEastAsia"/>
                <w:noProof/>
                <w:lang w:val="fr-CA" w:eastAsia="fr-CA"/>
              </w:rPr>
              <w:tab/>
            </w:r>
            <w:r w:rsidR="008437B6" w:rsidRPr="0019662F">
              <w:rPr>
                <w:rStyle w:val="Hyperlink"/>
                <w:noProof/>
              </w:rPr>
              <w:t>Some OEMs say they will not be able to reach targets</w:t>
            </w:r>
            <w:r w:rsidR="008437B6">
              <w:rPr>
                <w:noProof/>
                <w:webHidden/>
              </w:rPr>
              <w:tab/>
            </w:r>
            <w:r w:rsidR="008437B6">
              <w:rPr>
                <w:noProof/>
                <w:webHidden/>
              </w:rPr>
              <w:fldChar w:fldCharType="begin"/>
            </w:r>
            <w:r w:rsidR="008437B6">
              <w:rPr>
                <w:noProof/>
                <w:webHidden/>
              </w:rPr>
              <w:instrText xml:space="preserve"> PAGEREF _Toc129792110 \h </w:instrText>
            </w:r>
            <w:r w:rsidR="008437B6">
              <w:rPr>
                <w:noProof/>
                <w:webHidden/>
              </w:rPr>
            </w:r>
            <w:r w:rsidR="008437B6">
              <w:rPr>
                <w:noProof/>
                <w:webHidden/>
              </w:rPr>
              <w:fldChar w:fldCharType="separate"/>
            </w:r>
            <w:r w:rsidR="008437B6">
              <w:rPr>
                <w:noProof/>
                <w:webHidden/>
              </w:rPr>
              <w:t>11</w:t>
            </w:r>
            <w:r w:rsidR="008437B6">
              <w:rPr>
                <w:noProof/>
                <w:webHidden/>
              </w:rPr>
              <w:fldChar w:fldCharType="end"/>
            </w:r>
          </w:hyperlink>
        </w:p>
        <w:p w14:paraId="7CC22597" w14:textId="23AB7EE7" w:rsidR="008437B6" w:rsidRDefault="00000000">
          <w:pPr>
            <w:pStyle w:val="TOC3"/>
            <w:tabs>
              <w:tab w:val="left" w:pos="1320"/>
              <w:tab w:val="right" w:leader="dot" w:pos="10070"/>
            </w:tabs>
            <w:rPr>
              <w:rFonts w:eastAsiaTheme="minorEastAsia"/>
              <w:noProof/>
              <w:lang w:val="fr-CA" w:eastAsia="fr-CA"/>
            </w:rPr>
          </w:pPr>
          <w:hyperlink w:anchor="_Toc129792111" w:history="1">
            <w:r w:rsidR="008437B6" w:rsidRPr="0019662F">
              <w:rPr>
                <w:rStyle w:val="Hyperlink"/>
                <w:noProof/>
              </w:rPr>
              <w:t>2.5.2</w:t>
            </w:r>
            <w:r w:rsidR="008437B6">
              <w:rPr>
                <w:rFonts w:eastAsiaTheme="minorEastAsia"/>
                <w:noProof/>
                <w:lang w:val="fr-CA" w:eastAsia="fr-CA"/>
              </w:rPr>
              <w:tab/>
            </w:r>
            <w:r w:rsidR="008437B6" w:rsidRPr="0019662F">
              <w:rPr>
                <w:rStyle w:val="Hyperlink"/>
                <w:noProof/>
              </w:rPr>
              <w:t>OEM associations want more rebates and infrastructure</w:t>
            </w:r>
            <w:r w:rsidR="008437B6">
              <w:rPr>
                <w:noProof/>
                <w:webHidden/>
              </w:rPr>
              <w:tab/>
            </w:r>
            <w:r w:rsidR="008437B6">
              <w:rPr>
                <w:noProof/>
                <w:webHidden/>
              </w:rPr>
              <w:fldChar w:fldCharType="begin"/>
            </w:r>
            <w:r w:rsidR="008437B6">
              <w:rPr>
                <w:noProof/>
                <w:webHidden/>
              </w:rPr>
              <w:instrText xml:space="preserve"> PAGEREF _Toc129792111 \h </w:instrText>
            </w:r>
            <w:r w:rsidR="008437B6">
              <w:rPr>
                <w:noProof/>
                <w:webHidden/>
              </w:rPr>
            </w:r>
            <w:r w:rsidR="008437B6">
              <w:rPr>
                <w:noProof/>
                <w:webHidden/>
              </w:rPr>
              <w:fldChar w:fldCharType="separate"/>
            </w:r>
            <w:r w:rsidR="008437B6">
              <w:rPr>
                <w:noProof/>
                <w:webHidden/>
              </w:rPr>
              <w:t>11</w:t>
            </w:r>
            <w:r w:rsidR="008437B6">
              <w:rPr>
                <w:noProof/>
                <w:webHidden/>
              </w:rPr>
              <w:fldChar w:fldCharType="end"/>
            </w:r>
          </w:hyperlink>
        </w:p>
        <w:p w14:paraId="3F29128C" w14:textId="4F5DB1B4" w:rsidR="008437B6" w:rsidRDefault="00000000">
          <w:pPr>
            <w:pStyle w:val="TOC3"/>
            <w:tabs>
              <w:tab w:val="left" w:pos="1320"/>
              <w:tab w:val="right" w:leader="dot" w:pos="10070"/>
            </w:tabs>
            <w:rPr>
              <w:rFonts w:eastAsiaTheme="minorEastAsia"/>
              <w:noProof/>
              <w:lang w:val="fr-CA" w:eastAsia="fr-CA"/>
            </w:rPr>
          </w:pPr>
          <w:hyperlink w:anchor="_Toc129792112" w:history="1">
            <w:r w:rsidR="008437B6" w:rsidRPr="0019662F">
              <w:rPr>
                <w:rStyle w:val="Hyperlink"/>
                <w:noProof/>
              </w:rPr>
              <w:t>2.5.3</w:t>
            </w:r>
            <w:r w:rsidR="008437B6">
              <w:rPr>
                <w:rFonts w:eastAsiaTheme="minorEastAsia"/>
                <w:noProof/>
                <w:lang w:val="fr-CA" w:eastAsia="fr-CA"/>
              </w:rPr>
              <w:tab/>
            </w:r>
            <w:r w:rsidR="008437B6" w:rsidRPr="0019662F">
              <w:rPr>
                <w:rStyle w:val="Hyperlink"/>
                <w:noProof/>
              </w:rPr>
              <w:t>Regional distribution</w:t>
            </w:r>
            <w:r w:rsidR="008437B6">
              <w:rPr>
                <w:noProof/>
                <w:webHidden/>
              </w:rPr>
              <w:tab/>
            </w:r>
            <w:r w:rsidR="008437B6">
              <w:rPr>
                <w:noProof/>
                <w:webHidden/>
              </w:rPr>
              <w:fldChar w:fldCharType="begin"/>
            </w:r>
            <w:r w:rsidR="008437B6">
              <w:rPr>
                <w:noProof/>
                <w:webHidden/>
              </w:rPr>
              <w:instrText xml:space="preserve"> PAGEREF _Toc129792112 \h </w:instrText>
            </w:r>
            <w:r w:rsidR="008437B6">
              <w:rPr>
                <w:noProof/>
                <w:webHidden/>
              </w:rPr>
            </w:r>
            <w:r w:rsidR="008437B6">
              <w:rPr>
                <w:noProof/>
                <w:webHidden/>
              </w:rPr>
              <w:fldChar w:fldCharType="separate"/>
            </w:r>
            <w:r w:rsidR="008437B6">
              <w:rPr>
                <w:noProof/>
                <w:webHidden/>
              </w:rPr>
              <w:t>12</w:t>
            </w:r>
            <w:r w:rsidR="008437B6">
              <w:rPr>
                <w:noProof/>
                <w:webHidden/>
              </w:rPr>
              <w:fldChar w:fldCharType="end"/>
            </w:r>
          </w:hyperlink>
        </w:p>
        <w:p w14:paraId="25B94A52" w14:textId="121E20D2" w:rsidR="008437B6" w:rsidRDefault="00000000">
          <w:pPr>
            <w:pStyle w:val="TOC3"/>
            <w:tabs>
              <w:tab w:val="left" w:pos="1320"/>
              <w:tab w:val="right" w:leader="dot" w:pos="10070"/>
            </w:tabs>
            <w:rPr>
              <w:rFonts w:eastAsiaTheme="minorEastAsia"/>
              <w:noProof/>
              <w:lang w:val="fr-CA" w:eastAsia="fr-CA"/>
            </w:rPr>
          </w:pPr>
          <w:hyperlink w:anchor="_Toc129792113" w:history="1">
            <w:r w:rsidR="008437B6" w:rsidRPr="0019662F">
              <w:rPr>
                <w:rStyle w:val="Hyperlink"/>
                <w:noProof/>
              </w:rPr>
              <w:t>2.5.4</w:t>
            </w:r>
            <w:r w:rsidR="008437B6">
              <w:rPr>
                <w:rFonts w:eastAsiaTheme="minorEastAsia"/>
                <w:noProof/>
                <w:lang w:val="fr-CA" w:eastAsia="fr-CA"/>
              </w:rPr>
              <w:tab/>
            </w:r>
            <w:r w:rsidR="008437B6" w:rsidRPr="0019662F">
              <w:rPr>
                <w:rStyle w:val="Hyperlink"/>
                <w:noProof/>
              </w:rPr>
              <w:t>Northern and remote communities</w:t>
            </w:r>
            <w:r w:rsidR="008437B6">
              <w:rPr>
                <w:noProof/>
                <w:webHidden/>
              </w:rPr>
              <w:tab/>
            </w:r>
            <w:r w:rsidR="008437B6">
              <w:rPr>
                <w:noProof/>
                <w:webHidden/>
              </w:rPr>
              <w:fldChar w:fldCharType="begin"/>
            </w:r>
            <w:r w:rsidR="008437B6">
              <w:rPr>
                <w:noProof/>
                <w:webHidden/>
              </w:rPr>
              <w:instrText xml:space="preserve"> PAGEREF _Toc129792113 \h </w:instrText>
            </w:r>
            <w:r w:rsidR="008437B6">
              <w:rPr>
                <w:noProof/>
                <w:webHidden/>
              </w:rPr>
            </w:r>
            <w:r w:rsidR="008437B6">
              <w:rPr>
                <w:noProof/>
                <w:webHidden/>
              </w:rPr>
              <w:fldChar w:fldCharType="separate"/>
            </w:r>
            <w:r w:rsidR="008437B6">
              <w:rPr>
                <w:noProof/>
                <w:webHidden/>
              </w:rPr>
              <w:t>12</w:t>
            </w:r>
            <w:r w:rsidR="008437B6">
              <w:rPr>
                <w:noProof/>
                <w:webHidden/>
              </w:rPr>
              <w:fldChar w:fldCharType="end"/>
            </w:r>
          </w:hyperlink>
        </w:p>
        <w:p w14:paraId="5064EDE0" w14:textId="4D0F21C6" w:rsidR="008437B6" w:rsidRDefault="00000000">
          <w:pPr>
            <w:pStyle w:val="TOC2"/>
            <w:rPr>
              <w:rFonts w:eastAsiaTheme="minorEastAsia"/>
              <w:noProof/>
              <w:lang w:val="fr-CA" w:eastAsia="fr-CA"/>
            </w:rPr>
          </w:pPr>
          <w:hyperlink w:anchor="_Toc129792114" w:history="1">
            <w:r w:rsidR="008437B6" w:rsidRPr="0019662F">
              <w:rPr>
                <w:rStyle w:val="Hyperlink"/>
                <w:noProof/>
              </w:rPr>
              <w:t>2.6</w:t>
            </w:r>
            <w:r w:rsidR="008437B6">
              <w:rPr>
                <w:rFonts w:eastAsiaTheme="minorEastAsia"/>
                <w:noProof/>
                <w:lang w:val="fr-CA" w:eastAsia="fr-CA"/>
              </w:rPr>
              <w:tab/>
            </w:r>
            <w:r w:rsidR="008437B6" w:rsidRPr="0019662F">
              <w:rPr>
                <w:rStyle w:val="Hyperlink"/>
                <w:noProof/>
              </w:rPr>
              <w:t>Regulatory analysis section</w:t>
            </w:r>
            <w:r w:rsidR="008437B6">
              <w:rPr>
                <w:noProof/>
                <w:webHidden/>
              </w:rPr>
              <w:tab/>
            </w:r>
            <w:r w:rsidR="008437B6">
              <w:rPr>
                <w:noProof/>
                <w:webHidden/>
              </w:rPr>
              <w:fldChar w:fldCharType="begin"/>
            </w:r>
            <w:r w:rsidR="008437B6">
              <w:rPr>
                <w:noProof/>
                <w:webHidden/>
              </w:rPr>
              <w:instrText xml:space="preserve"> PAGEREF _Toc129792114 \h </w:instrText>
            </w:r>
            <w:r w:rsidR="008437B6">
              <w:rPr>
                <w:noProof/>
                <w:webHidden/>
              </w:rPr>
            </w:r>
            <w:r w:rsidR="008437B6">
              <w:rPr>
                <w:noProof/>
                <w:webHidden/>
              </w:rPr>
              <w:fldChar w:fldCharType="separate"/>
            </w:r>
            <w:r w:rsidR="008437B6">
              <w:rPr>
                <w:noProof/>
                <w:webHidden/>
              </w:rPr>
              <w:t>13</w:t>
            </w:r>
            <w:r w:rsidR="008437B6">
              <w:rPr>
                <w:noProof/>
                <w:webHidden/>
              </w:rPr>
              <w:fldChar w:fldCharType="end"/>
            </w:r>
          </w:hyperlink>
        </w:p>
        <w:p w14:paraId="4B068C28" w14:textId="3DD07182" w:rsidR="008437B6" w:rsidRDefault="00000000">
          <w:pPr>
            <w:pStyle w:val="TOC2"/>
            <w:rPr>
              <w:rFonts w:eastAsiaTheme="minorEastAsia"/>
              <w:noProof/>
              <w:lang w:val="fr-CA" w:eastAsia="fr-CA"/>
            </w:rPr>
          </w:pPr>
          <w:hyperlink w:anchor="_Toc129792115" w:history="1">
            <w:r w:rsidR="008437B6" w:rsidRPr="0019662F">
              <w:rPr>
                <w:rStyle w:val="Hyperlink"/>
                <w:noProof/>
              </w:rPr>
              <w:t>2.7</w:t>
            </w:r>
            <w:r w:rsidR="008437B6">
              <w:rPr>
                <w:rFonts w:eastAsiaTheme="minorEastAsia"/>
                <w:noProof/>
                <w:lang w:val="fr-CA" w:eastAsia="fr-CA"/>
              </w:rPr>
              <w:tab/>
            </w:r>
            <w:r w:rsidR="008437B6" w:rsidRPr="0019662F">
              <w:rPr>
                <w:rStyle w:val="Hyperlink"/>
                <w:noProof/>
              </w:rPr>
              <w:t>Implementation, compliance and enforcement, and service standards section</w:t>
            </w:r>
            <w:r w:rsidR="008437B6">
              <w:rPr>
                <w:noProof/>
                <w:webHidden/>
              </w:rPr>
              <w:tab/>
            </w:r>
            <w:r w:rsidR="008437B6">
              <w:rPr>
                <w:noProof/>
                <w:webHidden/>
              </w:rPr>
              <w:fldChar w:fldCharType="begin"/>
            </w:r>
            <w:r w:rsidR="008437B6">
              <w:rPr>
                <w:noProof/>
                <w:webHidden/>
              </w:rPr>
              <w:instrText xml:space="preserve"> PAGEREF _Toc129792115 \h </w:instrText>
            </w:r>
            <w:r w:rsidR="008437B6">
              <w:rPr>
                <w:noProof/>
                <w:webHidden/>
              </w:rPr>
            </w:r>
            <w:r w:rsidR="008437B6">
              <w:rPr>
                <w:noProof/>
                <w:webHidden/>
              </w:rPr>
              <w:fldChar w:fldCharType="separate"/>
            </w:r>
            <w:r w:rsidR="008437B6">
              <w:rPr>
                <w:noProof/>
                <w:webHidden/>
              </w:rPr>
              <w:t>13</w:t>
            </w:r>
            <w:r w:rsidR="008437B6">
              <w:rPr>
                <w:noProof/>
                <w:webHidden/>
              </w:rPr>
              <w:fldChar w:fldCharType="end"/>
            </w:r>
          </w:hyperlink>
        </w:p>
        <w:p w14:paraId="553BB5F1" w14:textId="357F16F0" w:rsidR="008437B6" w:rsidRDefault="00000000">
          <w:pPr>
            <w:pStyle w:val="TOC1"/>
            <w:rPr>
              <w:rFonts w:eastAsiaTheme="minorEastAsia"/>
              <w:noProof/>
              <w:lang w:val="fr-CA" w:eastAsia="fr-CA"/>
            </w:rPr>
          </w:pPr>
          <w:hyperlink w:anchor="_Toc129792116" w:history="1">
            <w:r w:rsidR="008437B6" w:rsidRPr="0019662F">
              <w:rPr>
                <w:rStyle w:val="Hyperlink"/>
                <w:noProof/>
              </w:rPr>
              <w:t>3</w:t>
            </w:r>
            <w:r w:rsidR="008437B6">
              <w:rPr>
                <w:rFonts w:eastAsiaTheme="minorEastAsia"/>
                <w:noProof/>
                <w:lang w:val="fr-CA" w:eastAsia="fr-CA"/>
              </w:rPr>
              <w:tab/>
            </w:r>
            <w:r w:rsidR="008437B6" w:rsidRPr="0019662F">
              <w:rPr>
                <w:rStyle w:val="Hyperlink"/>
                <w:noProof/>
              </w:rPr>
              <w:t>Conclusion</w:t>
            </w:r>
            <w:r w:rsidR="008437B6">
              <w:rPr>
                <w:noProof/>
                <w:webHidden/>
              </w:rPr>
              <w:tab/>
            </w:r>
            <w:r w:rsidR="008437B6">
              <w:rPr>
                <w:noProof/>
                <w:webHidden/>
              </w:rPr>
              <w:fldChar w:fldCharType="begin"/>
            </w:r>
            <w:r w:rsidR="008437B6">
              <w:rPr>
                <w:noProof/>
                <w:webHidden/>
              </w:rPr>
              <w:instrText xml:space="preserve"> PAGEREF _Toc129792116 \h </w:instrText>
            </w:r>
            <w:r w:rsidR="008437B6">
              <w:rPr>
                <w:noProof/>
                <w:webHidden/>
              </w:rPr>
            </w:r>
            <w:r w:rsidR="008437B6">
              <w:rPr>
                <w:noProof/>
                <w:webHidden/>
              </w:rPr>
              <w:fldChar w:fldCharType="separate"/>
            </w:r>
            <w:r w:rsidR="008437B6">
              <w:rPr>
                <w:noProof/>
                <w:webHidden/>
              </w:rPr>
              <w:t>13</w:t>
            </w:r>
            <w:r w:rsidR="008437B6">
              <w:rPr>
                <w:noProof/>
                <w:webHidden/>
              </w:rPr>
              <w:fldChar w:fldCharType="end"/>
            </w:r>
          </w:hyperlink>
        </w:p>
        <w:p w14:paraId="6EBFCF77" w14:textId="696800F3" w:rsidR="008437B6" w:rsidRDefault="00000000">
          <w:pPr>
            <w:pStyle w:val="TOC1"/>
            <w:rPr>
              <w:rFonts w:eastAsiaTheme="minorEastAsia"/>
              <w:noProof/>
              <w:lang w:val="fr-CA" w:eastAsia="fr-CA"/>
            </w:rPr>
          </w:pPr>
          <w:hyperlink w:anchor="_Toc129792117" w:history="1">
            <w:r w:rsidR="008437B6" w:rsidRPr="0019662F">
              <w:rPr>
                <w:rStyle w:val="Hyperlink"/>
                <w:noProof/>
              </w:rPr>
              <w:t>APPENDIX A - Overview of ZEV Mandate regulations and Credit Clearance Mechanisms is select jurisdictions (Canada, California, Quebec, B.C.)</w:t>
            </w:r>
            <w:r w:rsidR="008437B6">
              <w:rPr>
                <w:noProof/>
                <w:webHidden/>
              </w:rPr>
              <w:tab/>
            </w:r>
            <w:r w:rsidR="008437B6">
              <w:rPr>
                <w:noProof/>
                <w:webHidden/>
              </w:rPr>
              <w:fldChar w:fldCharType="begin"/>
            </w:r>
            <w:r w:rsidR="008437B6">
              <w:rPr>
                <w:noProof/>
                <w:webHidden/>
              </w:rPr>
              <w:instrText xml:space="preserve"> PAGEREF _Toc129792117 \h </w:instrText>
            </w:r>
            <w:r w:rsidR="008437B6">
              <w:rPr>
                <w:noProof/>
                <w:webHidden/>
              </w:rPr>
            </w:r>
            <w:r w:rsidR="008437B6">
              <w:rPr>
                <w:noProof/>
                <w:webHidden/>
              </w:rPr>
              <w:fldChar w:fldCharType="separate"/>
            </w:r>
            <w:r w:rsidR="008437B6">
              <w:rPr>
                <w:noProof/>
                <w:webHidden/>
              </w:rPr>
              <w:t>15</w:t>
            </w:r>
            <w:r w:rsidR="008437B6">
              <w:rPr>
                <w:noProof/>
                <w:webHidden/>
              </w:rPr>
              <w:fldChar w:fldCharType="end"/>
            </w:r>
          </w:hyperlink>
        </w:p>
        <w:p w14:paraId="095B14CF" w14:textId="4F86FE2B" w:rsidR="004B75D0" w:rsidRPr="00500BCC" w:rsidRDefault="004B75D0" w:rsidP="008D2426">
          <w:pPr>
            <w:spacing w:line="240" w:lineRule="auto"/>
            <w:rPr>
              <w:lang w:val="en-CA"/>
            </w:rPr>
          </w:pPr>
          <w:r w:rsidRPr="00500BCC">
            <w:rPr>
              <w:b/>
              <w:bCs/>
              <w:lang w:val="en-CA"/>
            </w:rPr>
            <w:fldChar w:fldCharType="end"/>
          </w:r>
        </w:p>
      </w:sdtContent>
    </w:sdt>
    <w:p w14:paraId="2460DB83" w14:textId="37DFC8FD" w:rsidR="0057190F" w:rsidRPr="00500BCC" w:rsidRDefault="0057190F">
      <w:pPr>
        <w:rPr>
          <w:b/>
          <w:bCs/>
          <w:sz w:val="28"/>
          <w:szCs w:val="28"/>
          <w:lang w:val="en-CA"/>
        </w:rPr>
      </w:pPr>
      <w:r w:rsidRPr="00500BCC">
        <w:rPr>
          <w:lang w:val="en-CA"/>
        </w:rPr>
        <w:br w:type="page"/>
      </w:r>
    </w:p>
    <w:p w14:paraId="68C738E1" w14:textId="268026A7" w:rsidR="000961CB" w:rsidRPr="00500BCC" w:rsidRDefault="000961CB" w:rsidP="00AC3B57">
      <w:pPr>
        <w:pStyle w:val="Heading1"/>
      </w:pPr>
      <w:bookmarkStart w:id="0" w:name="_Toc128035330"/>
      <w:bookmarkStart w:id="1" w:name="_Toc129792096"/>
      <w:bookmarkStart w:id="2" w:name="_Toc1114525199"/>
      <w:r w:rsidRPr="00500BCC">
        <w:lastRenderedPageBreak/>
        <w:t>Introduction</w:t>
      </w:r>
      <w:bookmarkEnd w:id="0"/>
      <w:bookmarkEnd w:id="1"/>
      <w:r w:rsidRPr="00500BCC">
        <w:t xml:space="preserve"> </w:t>
      </w:r>
      <w:bookmarkEnd w:id="2"/>
    </w:p>
    <w:p w14:paraId="51F6F2F9" w14:textId="77777777" w:rsidR="004B75D0" w:rsidRPr="00500BCC" w:rsidRDefault="004B75D0" w:rsidP="004B75D0">
      <w:pPr>
        <w:pStyle w:val="NoSpacing"/>
        <w:rPr>
          <w:lang w:val="en-CA"/>
        </w:rPr>
      </w:pPr>
    </w:p>
    <w:p w14:paraId="5DAED8D0" w14:textId="5D8D56A9" w:rsidR="4E545442" w:rsidRPr="00DB63E6" w:rsidRDefault="4E545442" w:rsidP="00FA759B">
      <w:pPr>
        <w:pStyle w:val="NoSpacing"/>
        <w:rPr>
          <w:lang w:val="en-CA"/>
        </w:rPr>
      </w:pPr>
      <w:r w:rsidRPr="00500BCC">
        <w:rPr>
          <w:lang w:val="en-CA"/>
        </w:rPr>
        <w:t xml:space="preserve">Electric Mobility Canada is pleased to participate in the Government of Canada’s consultation on the proposed </w:t>
      </w:r>
      <w:hyperlink r:id="rId20" w:history="1">
        <w:r w:rsidRPr="00500BCC">
          <w:rPr>
            <w:rStyle w:val="Hyperlink"/>
            <w:i/>
            <w:iCs/>
            <w:lang w:val="en-CA"/>
          </w:rPr>
          <w:t>Regulations amending Passenger Automobile and Light-Truck Greenhouse Gas Emission Regulations</w:t>
        </w:r>
      </w:hyperlink>
      <w:r w:rsidR="00FA759B" w:rsidRPr="00C53524">
        <w:rPr>
          <w:lang w:val="en-CA"/>
        </w:rPr>
        <w:t xml:space="preserve"> </w:t>
      </w:r>
      <w:r w:rsidR="00E60EF4" w:rsidRPr="00C53524">
        <w:rPr>
          <w:lang w:val="en-CA"/>
        </w:rPr>
        <w:t>(</w:t>
      </w:r>
      <w:r w:rsidR="00DB63E6" w:rsidRPr="00C53524">
        <w:rPr>
          <w:lang w:val="en-CA"/>
        </w:rPr>
        <w:t>the ZEV regulations or the proposed regulations)</w:t>
      </w:r>
      <w:r w:rsidR="00DB63E6">
        <w:rPr>
          <w:lang w:val="en-CA"/>
        </w:rPr>
        <w:t>.</w:t>
      </w:r>
    </w:p>
    <w:p w14:paraId="4D7B7D08" w14:textId="77777777" w:rsidR="00CB5184" w:rsidRPr="00C56D4B" w:rsidRDefault="00CB5184" w:rsidP="00180AFE">
      <w:pPr>
        <w:pStyle w:val="NoSpacing"/>
        <w:rPr>
          <w:lang w:val="en-CA"/>
        </w:rPr>
      </w:pPr>
    </w:p>
    <w:p w14:paraId="5D4376DE" w14:textId="3A306B71" w:rsidR="00376309" w:rsidRPr="00C56D4B" w:rsidRDefault="00376309" w:rsidP="00376309">
      <w:pPr>
        <w:pStyle w:val="Heading2"/>
      </w:pPr>
      <w:bookmarkStart w:id="3" w:name="_Toc129792097"/>
      <w:r w:rsidRPr="00C56D4B">
        <w:t xml:space="preserve">Why EMC </w:t>
      </w:r>
      <w:r w:rsidR="00893316" w:rsidRPr="00C56D4B">
        <w:t>supports adopting ZEV sales regulations for Canada</w:t>
      </w:r>
      <w:bookmarkEnd w:id="3"/>
    </w:p>
    <w:p w14:paraId="236ED61E" w14:textId="77777777" w:rsidR="00893316" w:rsidRPr="00C56D4B" w:rsidRDefault="00893316" w:rsidP="00893316">
      <w:pPr>
        <w:pStyle w:val="NoSpacing"/>
        <w:rPr>
          <w:lang w:val="en-CA"/>
        </w:rPr>
      </w:pPr>
    </w:p>
    <w:p w14:paraId="71419ADB" w14:textId="28B7563B" w:rsidR="00893316" w:rsidRPr="00C56D4B" w:rsidRDefault="00893316" w:rsidP="00893316">
      <w:pPr>
        <w:pStyle w:val="NoSpacing"/>
        <w:rPr>
          <w:b/>
          <w:bCs/>
          <w:lang w:val="en-CA"/>
        </w:rPr>
      </w:pPr>
      <w:r w:rsidRPr="00C56D4B">
        <w:rPr>
          <w:lang w:val="en-CA"/>
        </w:rPr>
        <w:t xml:space="preserve">As </w:t>
      </w:r>
      <w:r w:rsidRPr="00C56D4B">
        <w:rPr>
          <w:i/>
          <w:iCs/>
          <w:lang w:val="en-CA"/>
        </w:rPr>
        <w:t>Canada’s</w:t>
      </w:r>
      <w:r w:rsidRPr="00C56D4B">
        <w:rPr>
          <w:lang w:val="en-CA"/>
        </w:rPr>
        <w:t xml:space="preserve"> national EV industry association, EMC fully supports the federal ZEV sales regulation program. Time has shown that many of what old school auto industry representatives have been claiming against regulation was false. </w:t>
      </w:r>
      <w:r w:rsidRPr="00C56D4B">
        <w:rPr>
          <w:b/>
          <w:bCs/>
          <w:lang w:val="en-CA"/>
        </w:rPr>
        <w:t>Here are a few of these claims:</w:t>
      </w:r>
    </w:p>
    <w:p w14:paraId="26DA402A" w14:textId="77777777" w:rsidR="00893316" w:rsidRPr="00C56D4B" w:rsidRDefault="00893316" w:rsidP="00893316">
      <w:pPr>
        <w:pStyle w:val="NoSpacing"/>
        <w:rPr>
          <w:b/>
          <w:bCs/>
          <w:lang w:val="en-CA"/>
        </w:rPr>
      </w:pPr>
    </w:p>
    <w:p w14:paraId="7CDEB36C" w14:textId="7F6C6F61" w:rsidR="00893316" w:rsidRPr="00C56D4B" w:rsidRDefault="00893316" w:rsidP="00893316">
      <w:pPr>
        <w:pStyle w:val="NoSpacing"/>
        <w:rPr>
          <w:b/>
          <w:bCs/>
          <w:lang w:val="en-CA"/>
        </w:rPr>
      </w:pPr>
      <w:r w:rsidRPr="00C56D4B">
        <w:rPr>
          <w:b/>
          <w:bCs/>
          <w:lang w:val="en-CA"/>
        </w:rPr>
        <w:t xml:space="preserve">a) EV supply </w:t>
      </w:r>
    </w:p>
    <w:p w14:paraId="43F128A4" w14:textId="77777777" w:rsidR="00893316" w:rsidRPr="00A55FFF" w:rsidRDefault="00893316" w:rsidP="00893316">
      <w:pPr>
        <w:pStyle w:val="NoSpacing"/>
        <w:rPr>
          <w:lang w:val="en-CA"/>
        </w:rPr>
      </w:pPr>
    </w:p>
    <w:p w14:paraId="06963DC9" w14:textId="790B42C4" w:rsidR="00893316" w:rsidRPr="00A55FFF" w:rsidRDefault="00893316" w:rsidP="00893316">
      <w:pPr>
        <w:pStyle w:val="NoSpacing"/>
        <w:rPr>
          <w:shd w:val="clear" w:color="auto" w:fill="FFFFFF"/>
          <w:lang w:val="en-CA"/>
        </w:rPr>
      </w:pPr>
      <w:r w:rsidRPr="00A55FFF">
        <w:rPr>
          <w:lang w:val="en-CA"/>
        </w:rPr>
        <w:t xml:space="preserve">In 2011, both the federal and Ontario governments financially supported the production of the Toyota RAV4 EV to the tune of $141.6 million. Four thousand units of the RAV4 EV were built (which represents a $35,000 incentive per vehicle). But even though Ontario and Canadian taxpayers paid for </w:t>
      </w:r>
      <w:r w:rsidR="00967FB1" w:rsidRPr="00A55FFF">
        <w:rPr>
          <w:lang w:val="en-CA"/>
        </w:rPr>
        <w:t>their</w:t>
      </w:r>
      <w:r w:rsidRPr="00A55FFF">
        <w:rPr>
          <w:lang w:val="en-CA"/>
        </w:rPr>
        <w:t xml:space="preserve"> assembly in Ontario, they couldn’t buy them. </w:t>
      </w:r>
      <w:r w:rsidR="00C56D4B" w:rsidRPr="00A55FFF">
        <w:rPr>
          <w:lang w:val="en-CA"/>
        </w:rPr>
        <w:t xml:space="preserve">Though there was a $8,500 rebate program in Ontario back then, </w:t>
      </w:r>
      <w:r w:rsidR="00A55FFF" w:rsidRPr="00A55FFF">
        <w:rPr>
          <w:lang w:val="en-CA"/>
        </w:rPr>
        <w:t>t</w:t>
      </w:r>
      <w:r w:rsidRPr="00A55FFF">
        <w:rPr>
          <w:lang w:val="en-CA"/>
        </w:rPr>
        <w:t xml:space="preserve">he RAV 4 EVs </w:t>
      </w:r>
      <w:r w:rsidR="00A55FFF" w:rsidRPr="00A55FFF">
        <w:rPr>
          <w:lang w:val="en-CA"/>
        </w:rPr>
        <w:t xml:space="preserve">units </w:t>
      </w:r>
      <w:r w:rsidRPr="00A55FFF">
        <w:rPr>
          <w:lang w:val="en-CA"/>
        </w:rPr>
        <w:t xml:space="preserve">were all shipped directly to the U.S. Why? Because of ZEV sales regulation in the U.S. that did not exist in Ontario or Canada. Fast forward to today. Billions of dollars are pouring into a Canadian ZEV supply chain. </w:t>
      </w:r>
      <w:r w:rsidRPr="00A55FFF">
        <w:rPr>
          <w:shd w:val="clear" w:color="auto" w:fill="FFFFFF"/>
          <w:lang w:val="en-CA"/>
        </w:rPr>
        <w:t>We do not want to repeat the mistakes of a decade ago, hence the need for a federal ZEV sales regulation. Because the facts are clear: where stringent regulation is in place, ZEV supply and sales are much higher.</w:t>
      </w:r>
    </w:p>
    <w:p w14:paraId="73238878" w14:textId="77777777" w:rsidR="00893316" w:rsidRPr="00A55FFF" w:rsidRDefault="00893316" w:rsidP="00893316">
      <w:pPr>
        <w:pStyle w:val="NoSpacing"/>
        <w:rPr>
          <w:lang w:val="en-CA"/>
        </w:rPr>
      </w:pPr>
    </w:p>
    <w:p w14:paraId="4CCCEBC3" w14:textId="0BEDD769" w:rsidR="00893316" w:rsidRPr="00A55FFF" w:rsidRDefault="00893316" w:rsidP="00893316">
      <w:pPr>
        <w:pStyle w:val="NoSpacing"/>
        <w:rPr>
          <w:lang w:val="en-CA"/>
        </w:rPr>
      </w:pPr>
      <w:r w:rsidRPr="00A55FFF">
        <w:rPr>
          <w:lang w:val="en-CA"/>
        </w:rPr>
        <w:t>In February 2023, Dunsky published a</w:t>
      </w:r>
      <w:r w:rsidRPr="00A55FFF">
        <w:rPr>
          <w:rStyle w:val="apple-converted-space"/>
          <w:rFonts w:cstheme="minorHAnsi"/>
          <w:lang w:val="en-CA"/>
        </w:rPr>
        <w:t> </w:t>
      </w:r>
      <w:r w:rsidRPr="00D50DA6">
        <w:rPr>
          <w:rFonts w:cstheme="minorHAnsi"/>
          <w:lang w:val="en-CA"/>
        </w:rPr>
        <w:t>report</w:t>
      </w:r>
      <w:r w:rsidRPr="00A55FFF">
        <w:rPr>
          <w:rStyle w:val="apple-converted-space"/>
          <w:rFonts w:cstheme="minorHAnsi"/>
          <w:lang w:val="en-CA"/>
        </w:rPr>
        <w:t> </w:t>
      </w:r>
      <w:r w:rsidRPr="00A55FFF">
        <w:rPr>
          <w:lang w:val="en-CA"/>
        </w:rPr>
        <w:t xml:space="preserve">commissioned </w:t>
      </w:r>
      <w:r w:rsidR="00F34816">
        <w:rPr>
          <w:lang w:val="en-CA"/>
        </w:rPr>
        <w:t>by</w:t>
      </w:r>
      <w:r w:rsidRPr="00A55FFF">
        <w:rPr>
          <w:lang w:val="en-CA"/>
        </w:rPr>
        <w:t xml:space="preserve"> Transport Canada</w:t>
      </w:r>
      <w:r w:rsidR="00D50DA6">
        <w:rPr>
          <w:rStyle w:val="FootnoteReference"/>
          <w:lang w:val="en-CA"/>
        </w:rPr>
        <w:footnoteReference w:id="2"/>
      </w:r>
      <w:r w:rsidRPr="00A55FFF">
        <w:rPr>
          <w:lang w:val="en-CA"/>
        </w:rPr>
        <w:t xml:space="preserve"> that found </w:t>
      </w:r>
      <w:r w:rsidR="00F34816">
        <w:rPr>
          <w:lang w:val="en-CA"/>
        </w:rPr>
        <w:t>82%</w:t>
      </w:r>
      <w:r w:rsidRPr="00A55FFF">
        <w:rPr>
          <w:lang w:val="en-CA"/>
        </w:rPr>
        <w:t xml:space="preserve"> of dealerships across Canada did not have any ZEV inventory during the survey period in 2022. Is it any wonder Canadian customers looking for a new EV must wait between six months and two years for most models?</w:t>
      </w:r>
    </w:p>
    <w:p w14:paraId="29E81041" w14:textId="77777777" w:rsidR="00893316" w:rsidRPr="00D2068E" w:rsidRDefault="00893316" w:rsidP="00893316">
      <w:pPr>
        <w:pStyle w:val="NoSpacing"/>
        <w:rPr>
          <w:lang w:val="en-CA"/>
        </w:rPr>
      </w:pPr>
    </w:p>
    <w:p w14:paraId="6C7D63F7" w14:textId="43AEEEE5" w:rsidR="00893316" w:rsidRPr="00D2068E" w:rsidRDefault="00893316" w:rsidP="00893316">
      <w:pPr>
        <w:pStyle w:val="NoSpacing"/>
        <w:rPr>
          <w:lang w:val="en-CA"/>
        </w:rPr>
      </w:pPr>
      <w:r w:rsidRPr="00D2068E">
        <w:rPr>
          <w:lang w:val="en-CA"/>
        </w:rPr>
        <w:t>During</w:t>
      </w:r>
      <w:r w:rsidRPr="00D2068E">
        <w:rPr>
          <w:rStyle w:val="apple-converted-space"/>
          <w:rFonts w:cstheme="minorHAnsi"/>
          <w:lang w:val="en-CA"/>
        </w:rPr>
        <w:t> </w:t>
      </w:r>
      <w:r w:rsidRPr="00D2068E">
        <w:rPr>
          <w:rFonts w:cstheme="minorHAnsi"/>
          <w:lang w:val="en-CA"/>
        </w:rPr>
        <w:t>Q4 2022</w:t>
      </w:r>
      <w:r w:rsidR="00415D65" w:rsidRPr="00D2068E">
        <w:rPr>
          <w:rStyle w:val="FootnoteReference"/>
          <w:rFonts w:cstheme="minorHAnsi"/>
          <w:lang w:val="en-CA"/>
        </w:rPr>
        <w:footnoteReference w:id="3"/>
      </w:r>
      <w:r w:rsidRPr="00D2068E">
        <w:rPr>
          <w:lang w:val="en-CA"/>
        </w:rPr>
        <w:t>, Canada’s ZEV sales were at 10.2</w:t>
      </w:r>
      <w:r w:rsidR="00F34816" w:rsidRPr="00D2068E">
        <w:rPr>
          <w:lang w:val="en-CA"/>
        </w:rPr>
        <w:t>%</w:t>
      </w:r>
      <w:r w:rsidRPr="00D2068E">
        <w:rPr>
          <w:lang w:val="en-CA"/>
        </w:rPr>
        <w:t xml:space="preserve"> nationally</w:t>
      </w:r>
      <w:r w:rsidR="00F34816" w:rsidRPr="00D2068E">
        <w:rPr>
          <w:lang w:val="en-CA"/>
        </w:rPr>
        <w:t xml:space="preserve"> while </w:t>
      </w:r>
      <w:r w:rsidRPr="00D2068E">
        <w:rPr>
          <w:lang w:val="en-CA"/>
        </w:rPr>
        <w:t>Canadian regulated markets were at 14.6</w:t>
      </w:r>
      <w:r w:rsidR="00F34816" w:rsidRPr="00D2068E">
        <w:rPr>
          <w:lang w:val="en-CA"/>
        </w:rPr>
        <w:t>% (</w:t>
      </w:r>
      <w:r w:rsidRPr="00D2068E">
        <w:rPr>
          <w:lang w:val="en-CA"/>
        </w:rPr>
        <w:t>Quebec</w:t>
      </w:r>
      <w:r w:rsidR="00F34816" w:rsidRPr="00D2068E">
        <w:rPr>
          <w:lang w:val="en-CA"/>
        </w:rPr>
        <w:t>)</w:t>
      </w:r>
      <w:r w:rsidRPr="00D2068E">
        <w:rPr>
          <w:lang w:val="en-CA"/>
        </w:rPr>
        <w:t xml:space="preserve"> and 20.1</w:t>
      </w:r>
      <w:r w:rsidR="00F34816" w:rsidRPr="00D2068E">
        <w:rPr>
          <w:lang w:val="en-CA"/>
        </w:rPr>
        <w:t>% (</w:t>
      </w:r>
      <w:r w:rsidRPr="00D2068E">
        <w:rPr>
          <w:lang w:val="en-CA"/>
        </w:rPr>
        <w:t>B.C.</w:t>
      </w:r>
      <w:r w:rsidR="00F34816" w:rsidRPr="00D2068E">
        <w:rPr>
          <w:lang w:val="en-CA"/>
        </w:rPr>
        <w:t>)</w:t>
      </w:r>
      <w:r w:rsidR="00F34816" w:rsidRPr="00D2068E">
        <w:rPr>
          <w:rStyle w:val="apple-converted-space"/>
          <w:rFonts w:cstheme="minorHAnsi"/>
          <w:lang w:val="en-CA"/>
        </w:rPr>
        <w:t xml:space="preserve">. </w:t>
      </w:r>
      <w:r w:rsidRPr="00D2068E">
        <w:rPr>
          <w:lang w:val="en-CA"/>
        </w:rPr>
        <w:t>In other regulated countries, December 2022 ZEV sales were at 25</w:t>
      </w:r>
      <w:r w:rsidR="00F34816" w:rsidRPr="00D2068E">
        <w:rPr>
          <w:lang w:val="en-CA"/>
        </w:rPr>
        <w:t xml:space="preserve">% </w:t>
      </w:r>
      <w:r w:rsidRPr="00D2068E">
        <w:rPr>
          <w:lang w:val="en-CA"/>
        </w:rPr>
        <w:t>in France, 39</w:t>
      </w:r>
      <w:r w:rsidR="00F34816" w:rsidRPr="00D2068E">
        <w:rPr>
          <w:lang w:val="en-CA"/>
        </w:rPr>
        <w:t xml:space="preserve">% </w:t>
      </w:r>
      <w:r w:rsidRPr="00D2068E">
        <w:rPr>
          <w:lang w:val="en-CA"/>
        </w:rPr>
        <w:t>in the UK and 55</w:t>
      </w:r>
      <w:r w:rsidR="00F34816" w:rsidRPr="00D2068E">
        <w:rPr>
          <w:lang w:val="en-CA"/>
        </w:rPr>
        <w:t>%</w:t>
      </w:r>
      <w:r w:rsidRPr="00D2068E">
        <w:rPr>
          <w:lang w:val="en-CA"/>
        </w:rPr>
        <w:t xml:space="preserve"> in Germany.</w:t>
      </w:r>
    </w:p>
    <w:p w14:paraId="7415A919" w14:textId="77777777" w:rsidR="00893316" w:rsidRPr="00D2068E" w:rsidRDefault="00893316" w:rsidP="00893316">
      <w:pPr>
        <w:pStyle w:val="NoSpacing"/>
        <w:rPr>
          <w:lang w:val="en-CA"/>
        </w:rPr>
      </w:pPr>
    </w:p>
    <w:p w14:paraId="2170E98D" w14:textId="02998409" w:rsidR="00893316" w:rsidRPr="00D2068E" w:rsidRDefault="00D2068E" w:rsidP="00893316">
      <w:pPr>
        <w:pStyle w:val="NoSpacing"/>
        <w:rPr>
          <w:b/>
          <w:bCs/>
          <w:lang w:val="en-CA"/>
        </w:rPr>
      </w:pPr>
      <w:r w:rsidRPr="00D2068E">
        <w:rPr>
          <w:b/>
          <w:bCs/>
          <w:lang w:val="en-CA"/>
        </w:rPr>
        <w:t xml:space="preserve">b) </w:t>
      </w:r>
      <w:r w:rsidR="00893316" w:rsidRPr="00D2068E">
        <w:rPr>
          <w:b/>
          <w:bCs/>
          <w:lang w:val="en-CA"/>
        </w:rPr>
        <w:t>GHG emission reduction</w:t>
      </w:r>
    </w:p>
    <w:p w14:paraId="61227B68" w14:textId="77777777" w:rsidR="00D2068E" w:rsidRPr="00D2068E" w:rsidRDefault="00D2068E" w:rsidP="00893316">
      <w:pPr>
        <w:pStyle w:val="NoSpacing"/>
        <w:rPr>
          <w:b/>
          <w:bCs/>
          <w:lang w:val="en-CA"/>
        </w:rPr>
      </w:pPr>
    </w:p>
    <w:p w14:paraId="03BC9294" w14:textId="4969172F" w:rsidR="00893316" w:rsidRDefault="00893316" w:rsidP="00893316">
      <w:pPr>
        <w:pStyle w:val="NoSpacing"/>
        <w:rPr>
          <w:shd w:val="clear" w:color="auto" w:fill="FFFFFF"/>
          <w:lang w:val="en-CA"/>
        </w:rPr>
      </w:pPr>
      <w:r w:rsidRPr="00D2068E">
        <w:rPr>
          <w:rFonts w:eastAsia="Times New Roman"/>
          <w:lang w:val="en-CA" w:eastAsia="fr-CA"/>
        </w:rPr>
        <w:t>In 2005, the federal government signed a voluntary agreement with OEMs where the latter vowed to decrease that their annual GHG emissions by 5.3 megatons by 2010. But because this was voluntary and there was no penalty if the target was not reached, the industry missed the mark by 95</w:t>
      </w:r>
      <w:r w:rsidR="00D2068E">
        <w:rPr>
          <w:rFonts w:eastAsia="Times New Roman"/>
          <w:lang w:val="en-CA" w:eastAsia="fr-CA"/>
        </w:rPr>
        <w:t>%</w:t>
      </w:r>
      <w:r w:rsidRPr="00D2068E">
        <w:rPr>
          <w:rFonts w:eastAsia="Times New Roman"/>
          <w:lang w:val="en-CA" w:eastAsia="fr-CA"/>
        </w:rPr>
        <w:t xml:space="preserve">. In fact, </w:t>
      </w:r>
      <w:r w:rsidRPr="00D2068E">
        <w:rPr>
          <w:shd w:val="clear" w:color="auto" w:fill="FFFFFF"/>
          <w:lang w:val="en-CA"/>
        </w:rPr>
        <w:t>GHG emissions from the light-duty vehicle fleet</w:t>
      </w:r>
      <w:r w:rsidRPr="00D2068E">
        <w:rPr>
          <w:rStyle w:val="apple-converted-space"/>
          <w:rFonts w:cstheme="minorHAnsi"/>
          <w:shd w:val="clear" w:color="auto" w:fill="FFFFFF"/>
          <w:lang w:val="en-CA"/>
        </w:rPr>
        <w:t> </w:t>
      </w:r>
      <w:r w:rsidRPr="00D2068E">
        <w:rPr>
          <w:rStyle w:val="Emphasis"/>
          <w:rFonts w:cstheme="minorHAnsi"/>
          <w:lang w:val="en-CA"/>
        </w:rPr>
        <w:t>increased</w:t>
      </w:r>
      <w:r w:rsidRPr="00D2068E">
        <w:rPr>
          <w:rStyle w:val="apple-converted-space"/>
          <w:rFonts w:cstheme="minorHAnsi"/>
          <w:shd w:val="clear" w:color="auto" w:fill="FFFFFF"/>
          <w:lang w:val="en-CA"/>
        </w:rPr>
        <w:t> </w:t>
      </w:r>
      <w:r w:rsidRPr="00D2068E">
        <w:rPr>
          <w:shd w:val="clear" w:color="auto" w:fill="FFFFFF"/>
          <w:lang w:val="en-CA"/>
        </w:rPr>
        <w:t>by 8</w:t>
      </w:r>
      <w:r w:rsidR="00D2068E">
        <w:rPr>
          <w:shd w:val="clear" w:color="auto" w:fill="FFFFFF"/>
          <w:lang w:val="en-CA"/>
        </w:rPr>
        <w:t>%</w:t>
      </w:r>
      <w:r w:rsidRPr="00D2068E">
        <w:rPr>
          <w:shd w:val="clear" w:color="auto" w:fill="FFFFFF"/>
          <w:lang w:val="en-CA"/>
        </w:rPr>
        <w:t xml:space="preserve"> between 2005 and 2019 (pre-COVID).</w:t>
      </w:r>
    </w:p>
    <w:p w14:paraId="2BDFDF68" w14:textId="77777777" w:rsidR="00D2068E" w:rsidRPr="00D2068E" w:rsidRDefault="00D2068E" w:rsidP="00893316">
      <w:pPr>
        <w:pStyle w:val="NoSpacing"/>
        <w:rPr>
          <w:rFonts w:eastAsia="Times New Roman"/>
          <w:lang w:val="en-CA" w:eastAsia="fr-CA"/>
        </w:rPr>
      </w:pPr>
    </w:p>
    <w:p w14:paraId="744FEEC3" w14:textId="55A1375F" w:rsidR="00893316" w:rsidRPr="00D2068E" w:rsidRDefault="00893316" w:rsidP="00893316">
      <w:pPr>
        <w:pStyle w:val="NoSpacing"/>
        <w:rPr>
          <w:lang w:val="en-CA"/>
        </w:rPr>
      </w:pPr>
      <w:r w:rsidRPr="00D2068E">
        <w:rPr>
          <w:lang w:val="en-CA"/>
        </w:rPr>
        <w:t>In 2019, the International Energy Agency published a devastating</w:t>
      </w:r>
      <w:r w:rsidRPr="00D2068E">
        <w:rPr>
          <w:rStyle w:val="apple-converted-space"/>
          <w:rFonts w:cstheme="minorHAnsi"/>
          <w:lang w:val="en-CA"/>
        </w:rPr>
        <w:t> </w:t>
      </w:r>
      <w:r w:rsidRPr="00D2068E">
        <w:rPr>
          <w:rFonts w:cstheme="minorHAnsi"/>
          <w:lang w:val="en-CA"/>
        </w:rPr>
        <w:t>report</w:t>
      </w:r>
      <w:r w:rsidR="0007302C">
        <w:rPr>
          <w:rStyle w:val="FootnoteReference"/>
          <w:rFonts w:cstheme="minorHAnsi"/>
          <w:lang w:val="en-CA"/>
        </w:rPr>
        <w:footnoteReference w:id="4"/>
      </w:r>
      <w:r w:rsidRPr="00D2068E">
        <w:rPr>
          <w:rStyle w:val="apple-converted-space"/>
          <w:rFonts w:cstheme="minorHAnsi"/>
          <w:lang w:val="en-CA"/>
        </w:rPr>
        <w:t> </w:t>
      </w:r>
      <w:r w:rsidRPr="00D2068E">
        <w:rPr>
          <w:lang w:val="en-CA"/>
        </w:rPr>
        <w:t xml:space="preserve">for Canada. It calculated that our country’s light-duty vehicle fleet had the </w:t>
      </w:r>
      <w:r w:rsidRPr="00D2068E">
        <w:rPr>
          <w:b/>
          <w:bCs/>
          <w:lang w:val="en-CA"/>
        </w:rPr>
        <w:t>worst record in the world</w:t>
      </w:r>
      <w:r w:rsidRPr="00D2068E">
        <w:rPr>
          <w:lang w:val="en-CA"/>
        </w:rPr>
        <w:t xml:space="preserve"> for average fuel economy and GHG emissions per kilometer driven. The reason Canada is in this position comes down to a pivotal policy choice made almost 20 years ago.</w:t>
      </w:r>
    </w:p>
    <w:p w14:paraId="3987951E" w14:textId="52CB897E" w:rsidR="00893316" w:rsidRPr="00A83872" w:rsidRDefault="00A83872" w:rsidP="00893316">
      <w:pPr>
        <w:pStyle w:val="NoSpacing"/>
        <w:rPr>
          <w:b/>
          <w:bCs/>
          <w:lang w:val="en-CA"/>
        </w:rPr>
      </w:pPr>
      <w:r w:rsidRPr="00A83872">
        <w:rPr>
          <w:b/>
          <w:bCs/>
          <w:lang w:val="en-CA"/>
        </w:rPr>
        <w:lastRenderedPageBreak/>
        <w:t xml:space="preserve">c) </w:t>
      </w:r>
      <w:r w:rsidR="00893316" w:rsidRPr="00A83872">
        <w:rPr>
          <w:b/>
          <w:bCs/>
          <w:lang w:val="en-CA"/>
        </w:rPr>
        <w:t xml:space="preserve">Market “distortion”: </w:t>
      </w:r>
    </w:p>
    <w:p w14:paraId="2855593A" w14:textId="77777777" w:rsidR="00A83872" w:rsidRPr="00A83872" w:rsidRDefault="00A83872" w:rsidP="00893316">
      <w:pPr>
        <w:pStyle w:val="NoSpacing"/>
        <w:rPr>
          <w:lang w:val="en-CA"/>
        </w:rPr>
      </w:pPr>
    </w:p>
    <w:p w14:paraId="2170777E" w14:textId="28D2166E" w:rsidR="00893316" w:rsidRPr="00A83872" w:rsidRDefault="00893316" w:rsidP="00893316">
      <w:pPr>
        <w:pStyle w:val="NoSpacing"/>
        <w:rPr>
          <w:b/>
          <w:bCs/>
          <w:lang w:val="en-CA"/>
        </w:rPr>
      </w:pPr>
      <w:r w:rsidRPr="00A83872">
        <w:rPr>
          <w:lang w:val="en-CA"/>
        </w:rPr>
        <w:t xml:space="preserve">Some traditional auto industry representatives have also said that ZEV regulations </w:t>
      </w:r>
      <w:r w:rsidR="00A83872">
        <w:rPr>
          <w:lang w:val="en-CA"/>
        </w:rPr>
        <w:t>would</w:t>
      </w:r>
      <w:r w:rsidRPr="00A83872">
        <w:rPr>
          <w:lang w:val="en-CA"/>
        </w:rPr>
        <w:t xml:space="preserve"> create “market distortion.” Yet, those who advocate against regulation want the federal government to:</w:t>
      </w:r>
    </w:p>
    <w:p w14:paraId="72A4DD36" w14:textId="6D2D8922" w:rsidR="00893316" w:rsidRPr="00A83872" w:rsidRDefault="00893316" w:rsidP="00A83872">
      <w:pPr>
        <w:pStyle w:val="NoSpacing"/>
        <w:numPr>
          <w:ilvl w:val="0"/>
          <w:numId w:val="41"/>
        </w:numPr>
        <w:rPr>
          <w:b/>
          <w:bCs/>
          <w:lang w:val="en-CA"/>
        </w:rPr>
      </w:pPr>
      <w:r w:rsidRPr="00A83872">
        <w:rPr>
          <w:lang w:val="en-CA"/>
        </w:rPr>
        <w:t xml:space="preserve">Double or even triple EV </w:t>
      </w:r>
      <w:r w:rsidR="00674031" w:rsidRPr="00A83872">
        <w:rPr>
          <w:lang w:val="en-CA"/>
        </w:rPr>
        <w:t>subsidies.</w:t>
      </w:r>
    </w:p>
    <w:p w14:paraId="39C7428D" w14:textId="422F3A08" w:rsidR="00893316" w:rsidRPr="00A83872" w:rsidRDefault="00893316" w:rsidP="00A83872">
      <w:pPr>
        <w:pStyle w:val="NoSpacing"/>
        <w:numPr>
          <w:ilvl w:val="0"/>
          <w:numId w:val="41"/>
        </w:numPr>
        <w:rPr>
          <w:b/>
          <w:bCs/>
          <w:lang w:val="en-CA"/>
        </w:rPr>
      </w:pPr>
      <w:r w:rsidRPr="00A83872">
        <w:rPr>
          <w:lang w:val="en-CA"/>
        </w:rPr>
        <w:t>Finance EV infrastructure</w:t>
      </w:r>
      <w:r w:rsidR="00674031">
        <w:rPr>
          <w:lang w:val="en-CA"/>
        </w:rPr>
        <w:t>.</w:t>
      </w:r>
    </w:p>
    <w:p w14:paraId="2C50DE49" w14:textId="77777777" w:rsidR="00893316" w:rsidRPr="00A83872" w:rsidRDefault="00893316" w:rsidP="00A83872">
      <w:pPr>
        <w:pStyle w:val="NoSpacing"/>
        <w:numPr>
          <w:ilvl w:val="0"/>
          <w:numId w:val="41"/>
        </w:numPr>
        <w:rPr>
          <w:b/>
          <w:bCs/>
          <w:lang w:val="en-CA"/>
        </w:rPr>
      </w:pPr>
      <w:r w:rsidRPr="00A83872">
        <w:rPr>
          <w:lang w:val="en-CA"/>
        </w:rPr>
        <w:t>Support manufacturing.</w:t>
      </w:r>
    </w:p>
    <w:p w14:paraId="356C5FCD" w14:textId="77777777" w:rsidR="00893316" w:rsidRPr="00A83872" w:rsidRDefault="00893316" w:rsidP="00893316">
      <w:pPr>
        <w:pStyle w:val="NoSpacing"/>
        <w:rPr>
          <w:b/>
          <w:bCs/>
          <w:lang w:val="en-CA"/>
        </w:rPr>
      </w:pPr>
    </w:p>
    <w:p w14:paraId="19A407AD" w14:textId="5563B1EA" w:rsidR="00893316" w:rsidRDefault="00893316" w:rsidP="00893316">
      <w:pPr>
        <w:pStyle w:val="NoSpacing"/>
        <w:rPr>
          <w:lang w:val="en-CA"/>
        </w:rPr>
      </w:pPr>
      <w:r w:rsidRPr="00A83872">
        <w:rPr>
          <w:lang w:val="en-CA"/>
        </w:rPr>
        <w:t xml:space="preserve">The fact that </w:t>
      </w:r>
      <w:r w:rsidR="00674031" w:rsidRPr="00A83872">
        <w:rPr>
          <w:lang w:val="en-CA"/>
        </w:rPr>
        <w:t>all</w:t>
      </w:r>
      <w:r w:rsidRPr="00A83872">
        <w:rPr>
          <w:lang w:val="en-CA"/>
        </w:rPr>
        <w:t xml:space="preserve"> </w:t>
      </w:r>
      <w:r w:rsidR="00674031" w:rsidRPr="00A83872">
        <w:rPr>
          <w:lang w:val="en-CA"/>
        </w:rPr>
        <w:t xml:space="preserve">these </w:t>
      </w:r>
      <w:r w:rsidR="00674031">
        <w:rPr>
          <w:lang w:val="en-CA"/>
        </w:rPr>
        <w:t>requests</w:t>
      </w:r>
      <w:r w:rsidRPr="00A83872">
        <w:rPr>
          <w:lang w:val="en-CA"/>
        </w:rPr>
        <w:t xml:space="preserve"> also “distort” the market doesn’t seem to bother anti-regulation advocates who want the governments’ subsidies minus the duties.</w:t>
      </w:r>
    </w:p>
    <w:p w14:paraId="5E7AC9F9" w14:textId="77777777" w:rsidR="00674031" w:rsidRPr="00A83872" w:rsidRDefault="00674031" w:rsidP="00893316">
      <w:pPr>
        <w:pStyle w:val="NoSpacing"/>
        <w:rPr>
          <w:b/>
          <w:bCs/>
          <w:lang w:val="en-CA"/>
        </w:rPr>
      </w:pPr>
    </w:p>
    <w:p w14:paraId="44C74746" w14:textId="0BA417D9" w:rsidR="00893316" w:rsidRPr="00A83872" w:rsidRDefault="00674031" w:rsidP="00893316">
      <w:pPr>
        <w:pStyle w:val="NoSpacing"/>
        <w:rPr>
          <w:lang w:val="en-CA"/>
        </w:rPr>
      </w:pPr>
      <w:r>
        <w:rPr>
          <w:b/>
          <w:bCs/>
          <w:lang w:val="en-CA"/>
        </w:rPr>
        <w:t xml:space="preserve">d) </w:t>
      </w:r>
      <w:r w:rsidR="00893316" w:rsidRPr="00A83872">
        <w:rPr>
          <w:b/>
          <w:bCs/>
          <w:lang w:val="en-CA"/>
        </w:rPr>
        <w:t>Investment deterrence</w:t>
      </w:r>
      <w:r w:rsidR="00893316" w:rsidRPr="00A83872">
        <w:rPr>
          <w:lang w:val="en-CA"/>
        </w:rPr>
        <w:t xml:space="preserve">: </w:t>
      </w:r>
    </w:p>
    <w:p w14:paraId="20AA4644" w14:textId="77777777" w:rsidR="00674031" w:rsidRDefault="00674031" w:rsidP="00893316">
      <w:pPr>
        <w:pStyle w:val="NoSpacing"/>
        <w:rPr>
          <w:lang w:val="en-CA"/>
        </w:rPr>
      </w:pPr>
    </w:p>
    <w:p w14:paraId="2C061096" w14:textId="3133860C" w:rsidR="00893316" w:rsidRDefault="00893316" w:rsidP="00893316">
      <w:pPr>
        <w:pStyle w:val="NoSpacing"/>
        <w:rPr>
          <w:lang w:val="en-CA"/>
        </w:rPr>
      </w:pPr>
      <w:r w:rsidRPr="00A83872">
        <w:rPr>
          <w:lang w:val="en-CA"/>
        </w:rPr>
        <w:t xml:space="preserve">While some have said that regulation would deter EV industry investment in Canada, what we have seen since March 2022 (when the federal government unveiled its Emission Reduction Plan) is the exact opposite. More than $15 billion has been secured for Canada’s ZEV supply chain, thanks to the federal and provincial governments’ will to support the Canadian auto industry in its transition. And let’s not forget this week’s announcement from VW who will open a battery cell plant in Ontario, making this </w:t>
      </w:r>
      <w:r w:rsidRPr="00A83872">
        <w:rPr>
          <w:i/>
          <w:iCs/>
          <w:lang w:val="en-CA"/>
        </w:rPr>
        <w:t>one of the biggest if not the biggest automotive industry investment in the history of Canada.</w:t>
      </w:r>
      <w:r w:rsidRPr="00A83872">
        <w:rPr>
          <w:lang w:val="en-CA"/>
        </w:rPr>
        <w:t xml:space="preserve"> </w:t>
      </w:r>
    </w:p>
    <w:p w14:paraId="6D9E6040" w14:textId="77777777" w:rsidR="00674031" w:rsidRPr="00A83872" w:rsidRDefault="00674031" w:rsidP="00893316">
      <w:pPr>
        <w:pStyle w:val="NoSpacing"/>
        <w:rPr>
          <w:lang w:val="en-CA"/>
        </w:rPr>
      </w:pPr>
    </w:p>
    <w:p w14:paraId="7FB72141" w14:textId="6599CA63" w:rsidR="00893316" w:rsidRDefault="00893316" w:rsidP="00893316">
      <w:pPr>
        <w:pStyle w:val="NoSpacing"/>
        <w:rPr>
          <w:shd w:val="clear" w:color="auto" w:fill="FFFFFF"/>
          <w:lang w:val="en-CA"/>
        </w:rPr>
      </w:pPr>
      <w:r w:rsidRPr="00A83872">
        <w:rPr>
          <w:shd w:val="clear" w:color="auto" w:fill="FFFFFF"/>
          <w:lang w:val="en-CA"/>
        </w:rPr>
        <w:t>According to Unifor, since 2020, Canada has absorbed 15% of all EV and battery investments across North America, compared to the country’s average of a 6 to 7% share of the auto market over the past few decades.</w:t>
      </w:r>
      <w:r w:rsidRPr="00A83872">
        <w:rPr>
          <w:lang w:val="en-CA"/>
        </w:rPr>
        <w:t xml:space="preserve"> </w:t>
      </w:r>
      <w:r w:rsidRPr="00A83872">
        <w:rPr>
          <w:shd w:val="clear" w:color="auto" w:fill="FFFFFF"/>
          <w:lang w:val="en-CA"/>
        </w:rPr>
        <w:t>Canada’s string of electric-vehicle and battery investments over the past three years have earned it “about double” its historical share of North American automotive spending, and the country is well positioned to continue overperforming, according to Unifor President Lana Payne</w:t>
      </w:r>
      <w:r w:rsidR="00914EB2">
        <w:rPr>
          <w:rStyle w:val="FootnoteReference"/>
          <w:shd w:val="clear" w:color="auto" w:fill="FFFFFF"/>
          <w:lang w:val="en-CA"/>
        </w:rPr>
        <w:footnoteReference w:id="5"/>
      </w:r>
      <w:r w:rsidRPr="00A83872">
        <w:rPr>
          <w:shd w:val="clear" w:color="auto" w:fill="FFFFFF"/>
          <w:lang w:val="en-CA"/>
        </w:rPr>
        <w:t>.</w:t>
      </w:r>
    </w:p>
    <w:p w14:paraId="38330847" w14:textId="77777777" w:rsidR="00A83872" w:rsidRPr="00F454CE" w:rsidRDefault="00A83872" w:rsidP="00893316">
      <w:pPr>
        <w:pStyle w:val="NoSpacing"/>
      </w:pPr>
    </w:p>
    <w:p w14:paraId="6D96DF2B" w14:textId="77777777" w:rsidR="00893316" w:rsidRPr="00F454CE" w:rsidRDefault="00893316" w:rsidP="00893316">
      <w:pPr>
        <w:pStyle w:val="NoSpacing"/>
      </w:pPr>
      <w:r w:rsidRPr="00F454CE">
        <w:t>What we are seeing is that ZEV sales regulation brings market predictability that investors need. It is one of the many reasons why Canada is becoming more and more attractive for EV industry leaders.</w:t>
      </w:r>
    </w:p>
    <w:p w14:paraId="046DAEFD" w14:textId="77777777" w:rsidR="00642A77" w:rsidRDefault="00642A77" w:rsidP="00893316">
      <w:pPr>
        <w:pStyle w:val="NoSpacing"/>
        <w:rPr>
          <w:b/>
          <w:bCs/>
          <w:lang w:val="en-US"/>
        </w:rPr>
      </w:pPr>
    </w:p>
    <w:p w14:paraId="4FFC60D1" w14:textId="3842127D" w:rsidR="00893316" w:rsidRPr="00F454CE" w:rsidRDefault="003C4803" w:rsidP="00893316">
      <w:pPr>
        <w:pStyle w:val="NoSpacing"/>
        <w:rPr>
          <w:b/>
          <w:bCs/>
          <w:lang w:val="en-US"/>
        </w:rPr>
      </w:pPr>
      <w:r>
        <w:rPr>
          <w:b/>
          <w:bCs/>
          <w:lang w:val="en-US"/>
        </w:rPr>
        <w:t xml:space="preserve">e) </w:t>
      </w:r>
      <w:r w:rsidR="00893316" w:rsidRPr="00F454CE">
        <w:rPr>
          <w:b/>
          <w:bCs/>
          <w:lang w:val="en-US"/>
        </w:rPr>
        <w:t>“Market integration”</w:t>
      </w:r>
      <w:r w:rsidR="00B77ED6">
        <w:rPr>
          <w:b/>
          <w:bCs/>
          <w:lang w:val="en-US"/>
        </w:rPr>
        <w:t>:</w:t>
      </w:r>
    </w:p>
    <w:p w14:paraId="201B16DB" w14:textId="77777777" w:rsidR="00893316" w:rsidRPr="00F454CE" w:rsidRDefault="00893316" w:rsidP="00893316">
      <w:pPr>
        <w:pStyle w:val="NoSpacing"/>
        <w:rPr>
          <w:lang w:val="en-US"/>
        </w:rPr>
      </w:pPr>
    </w:p>
    <w:p w14:paraId="4A489CBC" w14:textId="3135BA47" w:rsidR="00893316" w:rsidRDefault="00893316" w:rsidP="00893316">
      <w:pPr>
        <w:pStyle w:val="NoSpacing"/>
        <w:rPr>
          <w:lang w:val="en-US"/>
        </w:rPr>
      </w:pPr>
      <w:r w:rsidRPr="00F454CE">
        <w:rPr>
          <w:lang w:val="en-US"/>
        </w:rPr>
        <w:t>While some OEMs claim that Canada and the US should be seen as one integrated market which means that we should simply align with US GHG emission</w:t>
      </w:r>
      <w:r w:rsidR="003C4803">
        <w:rPr>
          <w:lang w:val="en-US"/>
        </w:rPr>
        <w:t xml:space="preserve"> standards</w:t>
      </w:r>
      <w:r w:rsidRPr="00F454CE">
        <w:rPr>
          <w:lang w:val="en-US"/>
        </w:rPr>
        <w:t xml:space="preserve"> instead of adopting our </w:t>
      </w:r>
      <w:proofErr w:type="gramStart"/>
      <w:r w:rsidRPr="00F454CE">
        <w:rPr>
          <w:lang w:val="en-US"/>
        </w:rPr>
        <w:t>own;</w:t>
      </w:r>
      <w:proofErr w:type="gramEnd"/>
    </w:p>
    <w:p w14:paraId="58B43CBC" w14:textId="77777777" w:rsidR="003C4803" w:rsidRPr="00F454CE" w:rsidRDefault="003C4803" w:rsidP="00893316">
      <w:pPr>
        <w:pStyle w:val="NoSpacing"/>
        <w:rPr>
          <w:lang w:val="en-US"/>
        </w:rPr>
      </w:pPr>
    </w:p>
    <w:p w14:paraId="7B5FA4FE" w14:textId="77777777" w:rsidR="003C4803" w:rsidRPr="003C4803" w:rsidRDefault="00893316" w:rsidP="00C6417C">
      <w:pPr>
        <w:pStyle w:val="NoSpacing"/>
        <w:numPr>
          <w:ilvl w:val="0"/>
          <w:numId w:val="42"/>
        </w:numPr>
        <w:rPr>
          <w:lang w:val="en-US"/>
        </w:rPr>
      </w:pPr>
      <w:r w:rsidRPr="003C4803">
        <w:rPr>
          <w:rFonts w:eastAsia="Times New Roman"/>
          <w:lang w:eastAsia="fr-CA"/>
        </w:rPr>
        <w:t>The U.S.-Canada market is already bifurcated into ZEV and non-ZEV provinces and states. Canada must align with the group that has ZEV ambitions in line with its own. Fifteen other states have adopted a zero-emission vehicle mandate modelled after California’s, which together account for 36% of new U.S. car sales—and this list continues to grow.</w:t>
      </w:r>
      <w:r w:rsidRPr="003C4803">
        <w:rPr>
          <w:rFonts w:eastAsia="Times New Roman"/>
          <w:position w:val="6"/>
          <w:lang w:eastAsia="fr-CA"/>
        </w:rPr>
        <w:t xml:space="preserve"> </w:t>
      </w:r>
      <w:r w:rsidRPr="003C4803">
        <w:rPr>
          <w:rFonts w:eastAsia="Times New Roman"/>
          <w:lang w:eastAsia="fr-CA"/>
        </w:rPr>
        <w:t xml:space="preserve">Adding the rest of Canada would put 43% of the U.S.-Canada car market under a ZEV standard. </w:t>
      </w:r>
    </w:p>
    <w:p w14:paraId="0C731A4C" w14:textId="77777777" w:rsidR="00B15F84" w:rsidRDefault="00893316" w:rsidP="00EA6B18">
      <w:pPr>
        <w:pStyle w:val="NoSpacing"/>
        <w:numPr>
          <w:ilvl w:val="0"/>
          <w:numId w:val="42"/>
        </w:numPr>
        <w:rPr>
          <w:lang w:val="en-US"/>
        </w:rPr>
      </w:pPr>
      <w:r w:rsidRPr="00B15F84">
        <w:rPr>
          <w:lang w:val="en-US"/>
        </w:rPr>
        <w:t>Since 2019, the Canadian government has said that it would adopt the most stringent regulation either at the federal or state level. Four years later, this is no news for car manufacturers who have been advised of this many times over.</w:t>
      </w:r>
    </w:p>
    <w:p w14:paraId="47A14853" w14:textId="5DEB6617" w:rsidR="00893316" w:rsidRPr="00B15F84" w:rsidRDefault="00893316" w:rsidP="00EA6B18">
      <w:pPr>
        <w:pStyle w:val="NoSpacing"/>
        <w:numPr>
          <w:ilvl w:val="0"/>
          <w:numId w:val="42"/>
        </w:numPr>
        <w:rPr>
          <w:lang w:val="en-US"/>
        </w:rPr>
      </w:pPr>
      <w:r w:rsidRPr="00B15F84">
        <w:rPr>
          <w:lang w:val="en-US"/>
        </w:rPr>
        <w:t xml:space="preserve">While regulation alignment with the US administration may be easier on OEMs, when BC and Quebec adopted their ZEV sales </w:t>
      </w:r>
      <w:r w:rsidR="00B15F84">
        <w:rPr>
          <w:lang w:val="en-US"/>
        </w:rPr>
        <w:t>mandates</w:t>
      </w:r>
      <w:r w:rsidRPr="00B15F84">
        <w:rPr>
          <w:lang w:val="en-US"/>
        </w:rPr>
        <w:t xml:space="preserve">, </w:t>
      </w:r>
      <w:r w:rsidR="00B15F84">
        <w:rPr>
          <w:lang w:val="en-US"/>
        </w:rPr>
        <w:t>OEM</w:t>
      </w:r>
      <w:r w:rsidR="00CE7B65">
        <w:rPr>
          <w:lang w:val="en-US"/>
        </w:rPr>
        <w:t>s</w:t>
      </w:r>
      <w:r w:rsidRPr="00B15F84">
        <w:rPr>
          <w:lang w:val="en-US"/>
        </w:rPr>
        <w:t xml:space="preserve"> were able to adapt. </w:t>
      </w:r>
      <w:r w:rsidRPr="00B15F84">
        <w:rPr>
          <w:b/>
          <w:bCs/>
          <w:i/>
          <w:iCs/>
          <w:lang w:val="en-US"/>
        </w:rPr>
        <w:t>They complained but they complied</w:t>
      </w:r>
      <w:r w:rsidRPr="00B15F84">
        <w:rPr>
          <w:lang w:val="en-US"/>
        </w:rPr>
        <w:t xml:space="preserve">. Knowing that they could adapt to provincial regulations and then present Canada as a simple market rather than a unique country </w:t>
      </w:r>
      <w:r w:rsidRPr="00B15F84">
        <w:rPr>
          <w:lang w:val="en-US"/>
        </w:rPr>
        <w:lastRenderedPageBreak/>
        <w:t xml:space="preserve">shows utter disrespect towards Canada’s prerogatives, </w:t>
      </w:r>
      <w:r w:rsidR="00CE7B65" w:rsidRPr="00B15F84">
        <w:rPr>
          <w:lang w:val="en-US"/>
        </w:rPr>
        <w:t>laws,</w:t>
      </w:r>
      <w:r w:rsidRPr="00B15F84">
        <w:rPr>
          <w:lang w:val="en-US"/>
        </w:rPr>
        <w:t xml:space="preserve"> and regulations, not to mention federal elected officials and Canadian </w:t>
      </w:r>
      <w:r w:rsidR="00CE7B65" w:rsidRPr="00B15F84">
        <w:rPr>
          <w:lang w:val="en-US"/>
        </w:rPr>
        <w:t>citizens</w:t>
      </w:r>
      <w:r w:rsidRPr="00B15F84">
        <w:rPr>
          <w:lang w:val="en-US"/>
        </w:rPr>
        <w:t>.</w:t>
      </w:r>
    </w:p>
    <w:p w14:paraId="1160779D" w14:textId="77777777" w:rsidR="00893316" w:rsidRPr="00F454CE" w:rsidRDefault="00893316" w:rsidP="00893316">
      <w:pPr>
        <w:pStyle w:val="NoSpacing"/>
        <w:rPr>
          <w:lang w:val="en-US"/>
        </w:rPr>
      </w:pPr>
    </w:p>
    <w:p w14:paraId="7FD9991A" w14:textId="41E8DFFE" w:rsidR="00893316" w:rsidRPr="00F454CE" w:rsidRDefault="00893316" w:rsidP="00CE7B65">
      <w:pPr>
        <w:pStyle w:val="NoSpacing"/>
        <w:jc w:val="center"/>
        <w:rPr>
          <w:b/>
          <w:bCs/>
          <w:i/>
          <w:iCs/>
          <w:lang w:val="en-US"/>
        </w:rPr>
      </w:pPr>
      <w:r w:rsidRPr="00F454CE">
        <w:rPr>
          <w:b/>
          <w:bCs/>
          <w:i/>
          <w:iCs/>
          <w:lang w:val="en-US"/>
        </w:rPr>
        <w:t xml:space="preserve">This is why </w:t>
      </w:r>
      <w:r w:rsidR="00CE7B65">
        <w:rPr>
          <w:b/>
          <w:bCs/>
          <w:i/>
          <w:iCs/>
          <w:lang w:val="en-US"/>
        </w:rPr>
        <w:t>EMC</w:t>
      </w:r>
      <w:r w:rsidRPr="00F454CE">
        <w:rPr>
          <w:b/>
          <w:bCs/>
          <w:i/>
          <w:iCs/>
          <w:lang w:val="en-US"/>
        </w:rPr>
        <w:t xml:space="preserve"> support</w:t>
      </w:r>
      <w:r w:rsidR="00CE7B65">
        <w:rPr>
          <w:b/>
          <w:bCs/>
          <w:i/>
          <w:iCs/>
          <w:lang w:val="en-US"/>
        </w:rPr>
        <w:t>s</w:t>
      </w:r>
      <w:r w:rsidRPr="00F454CE">
        <w:rPr>
          <w:b/>
          <w:bCs/>
          <w:i/>
          <w:iCs/>
          <w:lang w:val="en-US"/>
        </w:rPr>
        <w:t xml:space="preserve"> the federal ZEV sales regulation program.</w:t>
      </w:r>
    </w:p>
    <w:p w14:paraId="1DCDA9D1" w14:textId="78A08934" w:rsidR="00893316" w:rsidRPr="00F454CE" w:rsidRDefault="00893316" w:rsidP="00CE7B65">
      <w:pPr>
        <w:pStyle w:val="NoSpacing"/>
        <w:jc w:val="center"/>
        <w:rPr>
          <w:b/>
          <w:bCs/>
          <w:i/>
          <w:iCs/>
          <w:lang w:val="en-US"/>
        </w:rPr>
      </w:pPr>
      <w:r w:rsidRPr="00F454CE">
        <w:rPr>
          <w:b/>
          <w:bCs/>
          <w:i/>
          <w:iCs/>
          <w:lang w:val="en-US"/>
        </w:rPr>
        <w:t>This</w:t>
      </w:r>
      <w:r w:rsidR="00CE7B65">
        <w:rPr>
          <w:b/>
          <w:bCs/>
          <w:i/>
          <w:iCs/>
          <w:lang w:val="en-US"/>
        </w:rPr>
        <w:t xml:space="preserve"> </w:t>
      </w:r>
      <w:r w:rsidRPr="00F454CE">
        <w:rPr>
          <w:b/>
          <w:bCs/>
          <w:i/>
          <w:iCs/>
          <w:lang w:val="en-US"/>
        </w:rPr>
        <w:t xml:space="preserve">is also why we want to make sure that </w:t>
      </w:r>
      <w:r w:rsidR="00CE7B65">
        <w:rPr>
          <w:b/>
          <w:bCs/>
          <w:i/>
          <w:iCs/>
          <w:lang w:val="en-US"/>
        </w:rPr>
        <w:t>Canada’s</w:t>
      </w:r>
      <w:r w:rsidRPr="00F454CE">
        <w:rPr>
          <w:b/>
          <w:bCs/>
          <w:i/>
          <w:iCs/>
          <w:lang w:val="en-US"/>
        </w:rPr>
        <w:t xml:space="preserve"> regulation is effective.</w:t>
      </w:r>
    </w:p>
    <w:p w14:paraId="67332484" w14:textId="77777777" w:rsidR="00376309" w:rsidRPr="00500BCC" w:rsidRDefault="00376309" w:rsidP="00180AFE">
      <w:pPr>
        <w:pStyle w:val="NoSpacing"/>
        <w:rPr>
          <w:lang w:val="en-CA"/>
        </w:rPr>
      </w:pPr>
    </w:p>
    <w:p w14:paraId="375B0B11" w14:textId="1D419643" w:rsidR="00051B05" w:rsidRDefault="00051B05" w:rsidP="00051B05">
      <w:pPr>
        <w:pStyle w:val="Heading2"/>
      </w:pPr>
      <w:bookmarkStart w:id="4" w:name="_Toc129792098"/>
      <w:r>
        <w:t>Assessing the proposed regulations</w:t>
      </w:r>
      <w:bookmarkEnd w:id="4"/>
    </w:p>
    <w:p w14:paraId="19A3B04D" w14:textId="77777777" w:rsidR="00051B05" w:rsidRDefault="00051B05" w:rsidP="008847CF">
      <w:pPr>
        <w:pStyle w:val="NoSpacing"/>
        <w:rPr>
          <w:lang w:val="en-CA"/>
        </w:rPr>
      </w:pPr>
    </w:p>
    <w:p w14:paraId="10B02303" w14:textId="3AC45954" w:rsidR="4E545442" w:rsidRPr="00500BCC" w:rsidRDefault="462D4A45" w:rsidP="008847CF">
      <w:pPr>
        <w:pStyle w:val="NoSpacing"/>
        <w:rPr>
          <w:lang w:val="en-CA"/>
        </w:rPr>
      </w:pPr>
      <w:r w:rsidRPr="00500BCC">
        <w:rPr>
          <w:lang w:val="en-CA"/>
        </w:rPr>
        <w:t>To assess the mechanisms included in the proposition, EMC considered their impacts on ZEV sales trajectory and GHG emission reduction</w:t>
      </w:r>
      <w:r w:rsidR="00072011">
        <w:rPr>
          <w:lang w:val="en-CA"/>
        </w:rPr>
        <w:t>s</w:t>
      </w:r>
      <w:r w:rsidRPr="00500BCC">
        <w:rPr>
          <w:lang w:val="en-CA"/>
        </w:rPr>
        <w:t>. Regulated ZEV sales targets will drive market certainty for the EV industry ecosystem which is necessary to raise private and public investments</w:t>
      </w:r>
      <w:r w:rsidR="15B056A5" w:rsidRPr="00500BCC">
        <w:rPr>
          <w:lang w:val="en-CA"/>
        </w:rPr>
        <w:t xml:space="preserve"> in</w:t>
      </w:r>
      <w:r w:rsidRPr="00500BCC">
        <w:rPr>
          <w:lang w:val="en-CA"/>
        </w:rPr>
        <w:t xml:space="preserve"> transportation electrification. Of course, transportation electrification reduces GHG and pollution emission reductions which will reduce the impacts of climate change and achieve better air quality in our </w:t>
      </w:r>
      <w:r w:rsidR="67A0E299" w:rsidRPr="00500BCC">
        <w:rPr>
          <w:lang w:val="en-CA"/>
        </w:rPr>
        <w:t>communities</w:t>
      </w:r>
      <w:r w:rsidRPr="00500BCC">
        <w:rPr>
          <w:lang w:val="en-CA"/>
        </w:rPr>
        <w:t xml:space="preserve">. All the above have important economic returns: investments in transportation electrification create clean, quality jobs for Canadians, GHG emission reductions reduces climate change and better air quality reduces health care costs. </w:t>
      </w:r>
    </w:p>
    <w:p w14:paraId="0153596B" w14:textId="77777777" w:rsidR="00CB5184" w:rsidRPr="00500BCC" w:rsidRDefault="00CB5184" w:rsidP="00180AFE">
      <w:pPr>
        <w:pStyle w:val="NoSpacing"/>
        <w:rPr>
          <w:lang w:val="en-CA"/>
        </w:rPr>
      </w:pPr>
    </w:p>
    <w:p w14:paraId="090E1B26" w14:textId="564A3A7E" w:rsidR="4E545442" w:rsidRPr="00500BCC" w:rsidRDefault="1F9259DE" w:rsidP="008847CF">
      <w:pPr>
        <w:pStyle w:val="NoSpacing"/>
        <w:rPr>
          <w:lang w:val="en-CA"/>
        </w:rPr>
      </w:pPr>
      <w:r w:rsidRPr="00500BCC">
        <w:rPr>
          <w:lang w:val="en-CA"/>
        </w:rPr>
        <w:t xml:space="preserve">EMC applauds the Government of Canada for its commitment to accelerating the transition of transportation to electricity through various policies and programs, including regulated ZEV sales targets. Our </w:t>
      </w:r>
      <w:r w:rsidR="254CA2D8" w:rsidRPr="00500BCC">
        <w:rPr>
          <w:lang w:val="en-CA"/>
        </w:rPr>
        <w:t>comments</w:t>
      </w:r>
      <w:r w:rsidR="70C5E960" w:rsidRPr="00500BCC">
        <w:rPr>
          <w:lang w:val="en-CA"/>
        </w:rPr>
        <w:t xml:space="preserve"> </w:t>
      </w:r>
      <w:r w:rsidR="00CB5184" w:rsidRPr="00500BCC">
        <w:rPr>
          <w:lang w:val="en-CA"/>
        </w:rPr>
        <w:t>and recommendations</w:t>
      </w:r>
      <w:r w:rsidRPr="00500BCC">
        <w:rPr>
          <w:lang w:val="en-CA"/>
        </w:rPr>
        <w:t xml:space="preserve"> aim to ensure the best possible outcomes from this regulation in terms of ZEV supply in Canada and GHG emission reduction</w:t>
      </w:r>
      <w:r w:rsidR="006A3A05">
        <w:rPr>
          <w:lang w:val="en-CA"/>
        </w:rPr>
        <w:t>s</w:t>
      </w:r>
      <w:r w:rsidRPr="00500BCC">
        <w:rPr>
          <w:lang w:val="en-CA"/>
        </w:rPr>
        <w:t xml:space="preserve">. Finally, though we </w:t>
      </w:r>
      <w:r w:rsidR="00504AC8">
        <w:rPr>
          <w:lang w:val="en-CA"/>
        </w:rPr>
        <w:t>are critical</w:t>
      </w:r>
      <w:r w:rsidR="006A3A05">
        <w:rPr>
          <w:lang w:val="en-CA"/>
        </w:rPr>
        <w:t xml:space="preserve"> of</w:t>
      </w:r>
      <w:r w:rsidRPr="00500BCC">
        <w:rPr>
          <w:lang w:val="en-CA"/>
        </w:rPr>
        <w:t xml:space="preserve"> some flexibility provisions included in the proposal, we are not advocating for the removal of all </w:t>
      </w:r>
      <w:r w:rsidR="00915ADD" w:rsidRPr="00500BCC">
        <w:rPr>
          <w:lang w:val="en-CA"/>
        </w:rPr>
        <w:t>flexibilit</w:t>
      </w:r>
      <w:r w:rsidR="00915ADD">
        <w:rPr>
          <w:lang w:val="en-CA"/>
        </w:rPr>
        <w:t>y mechanisms</w:t>
      </w:r>
      <w:r w:rsidRPr="00500BCC">
        <w:rPr>
          <w:lang w:val="en-CA"/>
        </w:rPr>
        <w:t xml:space="preserve">. </w:t>
      </w:r>
      <w:r w:rsidR="00915ADD">
        <w:rPr>
          <w:lang w:val="en-CA"/>
        </w:rPr>
        <w:t>W</w:t>
      </w:r>
      <w:r w:rsidRPr="00500BCC">
        <w:rPr>
          <w:lang w:val="en-CA"/>
        </w:rPr>
        <w:t>e agree that some flexible pathways may be necessary for automakers that are less advanced in the EV transition to be able to comply</w:t>
      </w:r>
      <w:r w:rsidR="00915ADD">
        <w:rPr>
          <w:lang w:val="en-CA"/>
        </w:rPr>
        <w:t>.</w:t>
      </w:r>
      <w:r w:rsidR="00915ADD" w:rsidRPr="00500BCC">
        <w:rPr>
          <w:lang w:val="en-CA"/>
        </w:rPr>
        <w:t xml:space="preserve"> </w:t>
      </w:r>
      <w:r w:rsidR="00915ADD">
        <w:rPr>
          <w:lang w:val="en-CA"/>
        </w:rPr>
        <w:t xml:space="preserve">However, </w:t>
      </w:r>
      <w:r w:rsidRPr="00500BCC">
        <w:rPr>
          <w:lang w:val="en-CA"/>
        </w:rPr>
        <w:t>we also want to ensure that Canada’s ZEV regulation</w:t>
      </w:r>
      <w:r w:rsidR="00915ADD">
        <w:rPr>
          <w:lang w:val="en-CA"/>
        </w:rPr>
        <w:t>s</w:t>
      </w:r>
      <w:r w:rsidRPr="00500BCC">
        <w:rPr>
          <w:lang w:val="en-CA"/>
        </w:rPr>
        <w:t xml:space="preserve"> will be stringent enough to motivate automakers to prioritize Canadian markets when they choose where to promote their ZEV models and </w:t>
      </w:r>
      <w:r w:rsidR="66B14206" w:rsidRPr="00500BCC">
        <w:rPr>
          <w:lang w:val="en-CA"/>
        </w:rPr>
        <w:t xml:space="preserve">to </w:t>
      </w:r>
      <w:r w:rsidRPr="00500BCC">
        <w:rPr>
          <w:lang w:val="en-CA"/>
        </w:rPr>
        <w:t>send ZEV inventory.</w:t>
      </w:r>
    </w:p>
    <w:p w14:paraId="3AE5DFF6" w14:textId="77777777" w:rsidR="002D0BD0" w:rsidRPr="00500BCC" w:rsidRDefault="002D0BD0" w:rsidP="004B75D0">
      <w:pPr>
        <w:pStyle w:val="NoSpacing"/>
        <w:rPr>
          <w:lang w:val="en-CA"/>
        </w:rPr>
      </w:pPr>
    </w:p>
    <w:p w14:paraId="6E28ABFB" w14:textId="060B75F0" w:rsidR="005B0D1D" w:rsidRPr="00500BCC" w:rsidRDefault="45170DFD" w:rsidP="00AC3B57">
      <w:pPr>
        <w:pStyle w:val="Heading2"/>
      </w:pPr>
      <w:bookmarkStart w:id="5" w:name="_Toc129792099"/>
      <w:bookmarkStart w:id="6" w:name="_Toc1177092878"/>
      <w:bookmarkStart w:id="7" w:name="_Toc128035331"/>
      <w:r w:rsidRPr="00500BCC">
        <w:t>Summary of recommendations</w:t>
      </w:r>
      <w:bookmarkEnd w:id="5"/>
      <w:r w:rsidRPr="00500BCC">
        <w:t xml:space="preserve"> </w:t>
      </w:r>
      <w:bookmarkEnd w:id="6"/>
      <w:bookmarkEnd w:id="7"/>
    </w:p>
    <w:p w14:paraId="70A1C07F" w14:textId="3E8A9FB0" w:rsidR="00892549" w:rsidRPr="00500BCC" w:rsidRDefault="00892549" w:rsidP="004024C0">
      <w:pPr>
        <w:pStyle w:val="NoSpacing"/>
        <w:rPr>
          <w:lang w:val="en-CA"/>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70"/>
      </w:tblGrid>
      <w:tr w:rsidR="004529B8" w:rsidRPr="00500BCC" w14:paraId="69D8CA05" w14:textId="0479DE54" w:rsidTr="002A4ED0">
        <w:trPr>
          <w:trHeight w:val="300"/>
        </w:trPr>
        <w:tc>
          <w:tcPr>
            <w:tcW w:w="5000" w:type="pct"/>
            <w:shd w:val="clear" w:color="auto" w:fill="C5E0B3" w:themeFill="accent6" w:themeFillTint="66"/>
          </w:tcPr>
          <w:p w14:paraId="4883177F" w14:textId="0DE86546" w:rsidR="004529B8" w:rsidRPr="00500BCC" w:rsidRDefault="1ACB3C9E" w:rsidP="50657CFB">
            <w:pPr>
              <w:rPr>
                <w:rFonts w:ascii="Calibri" w:eastAsia="Calibri" w:hAnsi="Calibri" w:cs="Calibri"/>
                <w:b/>
                <w:bCs/>
                <w:lang w:val="en-CA"/>
              </w:rPr>
            </w:pPr>
            <w:r w:rsidRPr="07D69FAB">
              <w:rPr>
                <w:rFonts w:ascii="Calibri" w:eastAsia="Calibri" w:hAnsi="Calibri" w:cs="Calibri"/>
                <w:b/>
                <w:bCs/>
                <w:lang w:val="en-CA"/>
              </w:rPr>
              <w:t xml:space="preserve">EMC </w:t>
            </w:r>
            <w:r w:rsidR="004529B8" w:rsidRPr="07D69FAB">
              <w:rPr>
                <w:rFonts w:ascii="Calibri" w:eastAsia="Calibri" w:hAnsi="Calibri" w:cs="Calibri"/>
                <w:b/>
                <w:bCs/>
                <w:lang w:val="en-CA"/>
              </w:rPr>
              <w:t>Recommendations</w:t>
            </w:r>
          </w:p>
        </w:tc>
      </w:tr>
      <w:tr w:rsidR="004529B8" w:rsidRPr="00500BCC" w14:paraId="2C1EE406" w14:textId="5B11242A" w:rsidTr="002A4ED0">
        <w:trPr>
          <w:trHeight w:val="300"/>
        </w:trPr>
        <w:tc>
          <w:tcPr>
            <w:tcW w:w="5000" w:type="pct"/>
          </w:tcPr>
          <w:p w14:paraId="35CB9337" w14:textId="4E31DFEC" w:rsidR="004529B8" w:rsidRPr="00500BCC" w:rsidRDefault="004529B8" w:rsidP="00B44E51">
            <w:pPr>
              <w:pStyle w:val="ListParagraph"/>
              <w:numPr>
                <w:ilvl w:val="0"/>
                <w:numId w:val="26"/>
              </w:numPr>
              <w:rPr>
                <w:b/>
                <w:bCs/>
                <w:lang w:val="en-CA"/>
              </w:rPr>
            </w:pPr>
            <w:r w:rsidRPr="00500BCC">
              <w:rPr>
                <w:rFonts w:ascii="Calibri" w:eastAsia="Calibri" w:hAnsi="Calibri" w:cs="Calibri"/>
                <w:b/>
                <w:bCs/>
                <w:lang w:val="en-CA"/>
              </w:rPr>
              <w:t>TARGETS</w:t>
            </w:r>
          </w:p>
          <w:p w14:paraId="6586FFB6" w14:textId="7A9E6B50" w:rsidR="00737368" w:rsidRPr="00737368" w:rsidRDefault="664350AE">
            <w:pPr>
              <w:rPr>
                <w:rFonts w:ascii="Calibri" w:eastAsia="Calibri" w:hAnsi="Calibri" w:cs="Calibri"/>
                <w:lang w:val="en-CA"/>
              </w:rPr>
            </w:pPr>
            <w:r w:rsidRPr="00500BCC">
              <w:rPr>
                <w:rFonts w:ascii="Calibri" w:eastAsia="Calibri" w:hAnsi="Calibri" w:cs="Calibri"/>
                <w:lang w:val="en-CA"/>
              </w:rPr>
              <w:t xml:space="preserve">Set more ambitious </w:t>
            </w:r>
            <w:r w:rsidR="19F09722" w:rsidRPr="00500BCC">
              <w:rPr>
                <w:rFonts w:ascii="Calibri" w:eastAsia="Calibri" w:hAnsi="Calibri" w:cs="Calibri"/>
                <w:lang w:val="en-CA"/>
              </w:rPr>
              <w:t>targets</w:t>
            </w:r>
            <w:r w:rsidR="155D0824" w:rsidRPr="00500BCC">
              <w:rPr>
                <w:rFonts w:ascii="Calibri" w:eastAsia="Calibri" w:hAnsi="Calibri" w:cs="Calibri"/>
                <w:lang w:val="en-CA"/>
              </w:rPr>
              <w:t>,</w:t>
            </w:r>
            <w:r w:rsidR="19F09722" w:rsidRPr="00500BCC">
              <w:rPr>
                <w:rFonts w:ascii="Calibri" w:eastAsia="Calibri" w:hAnsi="Calibri" w:cs="Calibri"/>
                <w:lang w:val="en-CA"/>
              </w:rPr>
              <w:t xml:space="preserve"> align</w:t>
            </w:r>
            <w:r w:rsidR="46F16F01" w:rsidRPr="00500BCC">
              <w:rPr>
                <w:rFonts w:ascii="Calibri" w:eastAsia="Calibri" w:hAnsi="Calibri" w:cs="Calibri"/>
                <w:lang w:val="en-CA"/>
              </w:rPr>
              <w:t>ing</w:t>
            </w:r>
            <w:r w:rsidR="19F09722" w:rsidRPr="00500BCC">
              <w:rPr>
                <w:rFonts w:ascii="Calibri" w:eastAsia="Calibri" w:hAnsi="Calibri" w:cs="Calibri"/>
                <w:lang w:val="en-CA"/>
              </w:rPr>
              <w:t xml:space="preserve"> with </w:t>
            </w:r>
            <w:r w:rsidR="0054425E" w:rsidRPr="00500BCC">
              <w:rPr>
                <w:rFonts w:ascii="Calibri" w:eastAsia="Calibri" w:hAnsi="Calibri" w:cs="Calibri"/>
                <w:lang w:val="en-CA"/>
              </w:rPr>
              <w:t>B.C.</w:t>
            </w:r>
            <w:r w:rsidR="3B2256AB" w:rsidRPr="00500BCC">
              <w:rPr>
                <w:rFonts w:ascii="Calibri" w:eastAsia="Calibri" w:hAnsi="Calibri" w:cs="Calibri"/>
                <w:lang w:val="en-CA"/>
              </w:rPr>
              <w:t xml:space="preserve"> targets</w:t>
            </w:r>
            <w:r w:rsidR="19F09722" w:rsidRPr="00500BCC">
              <w:rPr>
                <w:rFonts w:ascii="Calibri" w:eastAsia="Calibri" w:hAnsi="Calibri" w:cs="Calibri"/>
                <w:lang w:val="en-CA"/>
              </w:rPr>
              <w:t xml:space="preserve">. </w:t>
            </w:r>
          </w:p>
        </w:tc>
      </w:tr>
      <w:tr w:rsidR="004529B8" w:rsidRPr="00500BCC" w14:paraId="3DEA2A40" w14:textId="77777777" w:rsidTr="002A4ED0">
        <w:trPr>
          <w:trHeight w:val="300"/>
        </w:trPr>
        <w:tc>
          <w:tcPr>
            <w:tcW w:w="5000" w:type="pct"/>
          </w:tcPr>
          <w:p w14:paraId="23A364DA" w14:textId="77777777" w:rsidR="004529B8" w:rsidRPr="00500BCC" w:rsidRDefault="004529B8" w:rsidP="0032199F">
            <w:pPr>
              <w:pStyle w:val="ListParagraph"/>
              <w:numPr>
                <w:ilvl w:val="0"/>
                <w:numId w:val="26"/>
              </w:numPr>
              <w:rPr>
                <w:rFonts w:ascii="Calibri" w:eastAsia="Calibri" w:hAnsi="Calibri" w:cs="Calibri"/>
                <w:b/>
                <w:bCs/>
                <w:lang w:val="en-CA"/>
              </w:rPr>
            </w:pPr>
            <w:r w:rsidRPr="00500BCC">
              <w:rPr>
                <w:rFonts w:ascii="Calibri" w:eastAsia="Calibri" w:hAnsi="Calibri" w:cs="Calibri"/>
                <w:b/>
                <w:bCs/>
                <w:lang w:val="en-CA"/>
              </w:rPr>
              <w:t xml:space="preserve">REGIONAL DISTRIBUTION </w:t>
            </w:r>
          </w:p>
          <w:p w14:paraId="4E60D357" w14:textId="306EE37E" w:rsidR="004529B8" w:rsidRPr="00500BCC" w:rsidRDefault="475453E0" w:rsidP="588B53DA">
            <w:pPr>
              <w:rPr>
                <w:rFonts w:ascii="Calibri" w:eastAsia="Calibri" w:hAnsi="Calibri" w:cs="Calibri"/>
                <w:lang w:val="en-CA"/>
              </w:rPr>
            </w:pPr>
            <w:r w:rsidRPr="07D69FAB">
              <w:rPr>
                <w:rFonts w:ascii="Calibri" w:eastAsia="Calibri" w:hAnsi="Calibri" w:cs="Calibri"/>
                <w:lang w:val="en-CA"/>
              </w:rPr>
              <w:t xml:space="preserve">Set more ambitious </w:t>
            </w:r>
            <w:r w:rsidR="5024DD34" w:rsidRPr="07D69FAB">
              <w:rPr>
                <w:rFonts w:ascii="Calibri" w:eastAsia="Calibri" w:hAnsi="Calibri" w:cs="Calibri"/>
                <w:lang w:val="en-CA"/>
              </w:rPr>
              <w:t xml:space="preserve">targets </w:t>
            </w:r>
            <w:r w:rsidR="3DC18ED7" w:rsidRPr="07D69FAB">
              <w:rPr>
                <w:rFonts w:ascii="Calibri" w:eastAsia="Calibri" w:hAnsi="Calibri" w:cs="Calibri"/>
                <w:lang w:val="en-CA"/>
              </w:rPr>
              <w:t xml:space="preserve">to ensure </w:t>
            </w:r>
            <w:r w:rsidR="084AA55A" w:rsidRPr="07D69FAB">
              <w:rPr>
                <w:rFonts w:ascii="Calibri" w:eastAsia="Calibri" w:hAnsi="Calibri" w:cs="Calibri"/>
                <w:lang w:val="en-CA"/>
              </w:rPr>
              <w:t xml:space="preserve">that more </w:t>
            </w:r>
            <w:r w:rsidR="7C667408" w:rsidRPr="07D69FAB">
              <w:rPr>
                <w:rFonts w:ascii="Calibri" w:eastAsia="Calibri" w:hAnsi="Calibri" w:cs="Calibri"/>
                <w:lang w:val="en-CA"/>
              </w:rPr>
              <w:t>sales outside of B.C. and Quebe</w:t>
            </w:r>
            <w:r w:rsidR="0BDB9D54" w:rsidRPr="07D69FAB">
              <w:rPr>
                <w:rFonts w:ascii="Calibri" w:eastAsia="Calibri" w:hAnsi="Calibri" w:cs="Calibri"/>
                <w:lang w:val="en-CA"/>
              </w:rPr>
              <w:t>c</w:t>
            </w:r>
            <w:r w:rsidR="7C667408" w:rsidRPr="07D69FAB">
              <w:rPr>
                <w:rFonts w:ascii="Calibri" w:eastAsia="Calibri" w:hAnsi="Calibri" w:cs="Calibri"/>
                <w:lang w:val="en-CA"/>
              </w:rPr>
              <w:t xml:space="preserve"> </w:t>
            </w:r>
            <w:r w:rsidR="0D20CBE7" w:rsidRPr="07D69FAB">
              <w:rPr>
                <w:rFonts w:ascii="Calibri" w:eastAsia="Calibri" w:hAnsi="Calibri" w:cs="Calibri"/>
                <w:lang w:val="en-CA"/>
              </w:rPr>
              <w:t xml:space="preserve">would be necessary </w:t>
            </w:r>
            <w:r w:rsidR="7C667408" w:rsidRPr="07D69FAB">
              <w:rPr>
                <w:rFonts w:ascii="Calibri" w:eastAsia="Calibri" w:hAnsi="Calibri" w:cs="Calibri"/>
                <w:lang w:val="en-CA"/>
              </w:rPr>
              <w:t xml:space="preserve">to meet national targets </w:t>
            </w:r>
            <w:r w:rsidR="5024DD34" w:rsidRPr="07D69FAB">
              <w:rPr>
                <w:rFonts w:ascii="Calibri" w:eastAsia="Calibri" w:hAnsi="Calibri" w:cs="Calibri"/>
                <w:lang w:val="en-CA"/>
              </w:rPr>
              <w:t>and establish an opt-in provision to allow provinces o</w:t>
            </w:r>
            <w:r w:rsidR="08632C02" w:rsidRPr="07D69FAB">
              <w:rPr>
                <w:rFonts w:ascii="Calibri" w:eastAsia="Calibri" w:hAnsi="Calibri" w:cs="Calibri"/>
                <w:lang w:val="en-CA"/>
              </w:rPr>
              <w:t xml:space="preserve">r a group of provinces to </w:t>
            </w:r>
            <w:r w:rsidR="00DA302A">
              <w:rPr>
                <w:rFonts w:ascii="Calibri" w:eastAsia="Calibri" w:hAnsi="Calibri" w:cs="Calibri"/>
                <w:lang w:val="en-CA"/>
              </w:rPr>
              <w:t xml:space="preserve">set </w:t>
            </w:r>
            <w:r w:rsidR="08632C02" w:rsidRPr="07D69FAB">
              <w:rPr>
                <w:rFonts w:ascii="Calibri" w:eastAsia="Calibri" w:hAnsi="Calibri" w:cs="Calibri"/>
                <w:lang w:val="en-CA"/>
              </w:rPr>
              <w:t>subnational target</w:t>
            </w:r>
            <w:r w:rsidR="3B0AEC4E" w:rsidRPr="07D69FAB">
              <w:rPr>
                <w:rFonts w:ascii="Calibri" w:eastAsia="Calibri" w:hAnsi="Calibri" w:cs="Calibri"/>
                <w:lang w:val="en-CA"/>
              </w:rPr>
              <w:t>s</w:t>
            </w:r>
            <w:r w:rsidR="19F09722" w:rsidRPr="07D69FAB">
              <w:rPr>
                <w:rFonts w:ascii="Calibri" w:eastAsia="Calibri" w:hAnsi="Calibri" w:cs="Calibri"/>
                <w:lang w:val="en-CA"/>
              </w:rPr>
              <w:t xml:space="preserve">. </w:t>
            </w:r>
          </w:p>
        </w:tc>
      </w:tr>
      <w:tr w:rsidR="004529B8" w:rsidRPr="00500BCC" w14:paraId="34F191E3" w14:textId="1680AD42" w:rsidTr="002A4ED0">
        <w:trPr>
          <w:trHeight w:val="300"/>
        </w:trPr>
        <w:tc>
          <w:tcPr>
            <w:tcW w:w="5000" w:type="pct"/>
          </w:tcPr>
          <w:p w14:paraId="180F02A6" w14:textId="041DFC2F" w:rsidR="004529B8" w:rsidRPr="00500BCC" w:rsidRDefault="004529B8" w:rsidP="00B44E51">
            <w:pPr>
              <w:pStyle w:val="ListParagraph"/>
              <w:numPr>
                <w:ilvl w:val="0"/>
                <w:numId w:val="26"/>
              </w:numPr>
              <w:rPr>
                <w:b/>
                <w:bCs/>
                <w:lang w:val="en-CA"/>
              </w:rPr>
            </w:pPr>
            <w:r w:rsidRPr="00500BCC">
              <w:rPr>
                <w:rFonts w:ascii="Calibri" w:eastAsia="Calibri" w:hAnsi="Calibri" w:cs="Calibri"/>
                <w:b/>
                <w:bCs/>
                <w:lang w:val="en-CA"/>
              </w:rPr>
              <w:t>PENALTIES FOR NON-COMPLIANCE</w:t>
            </w:r>
          </w:p>
          <w:p w14:paraId="0BE255E4" w14:textId="12CF48D0" w:rsidR="004529B8" w:rsidRPr="00500BCC" w:rsidRDefault="14C31673" w:rsidP="588B53DA">
            <w:pPr>
              <w:rPr>
                <w:rFonts w:ascii="Calibri" w:eastAsia="Calibri" w:hAnsi="Calibri" w:cs="Calibri"/>
                <w:lang w:val="en-CA"/>
              </w:rPr>
            </w:pPr>
            <w:r w:rsidRPr="07D69FAB">
              <w:rPr>
                <w:rFonts w:ascii="Calibri" w:eastAsia="Calibri" w:hAnsi="Calibri" w:cs="Calibri"/>
                <w:lang w:val="en-CA"/>
              </w:rPr>
              <w:t xml:space="preserve">Maintain criminal sanction as a legal enforcement tool but add </w:t>
            </w:r>
            <w:r w:rsidR="0297B78B" w:rsidRPr="07D69FAB">
              <w:rPr>
                <w:rFonts w:ascii="Calibri" w:eastAsia="Calibri" w:hAnsi="Calibri" w:cs="Calibri"/>
                <w:lang w:val="en-CA"/>
              </w:rPr>
              <w:t xml:space="preserve">a credit clearance mechanism </w:t>
            </w:r>
            <w:r w:rsidR="2CD809FB" w:rsidRPr="07D69FAB">
              <w:rPr>
                <w:rFonts w:ascii="Calibri" w:eastAsia="Calibri" w:hAnsi="Calibri" w:cs="Calibri"/>
                <w:lang w:val="en-CA"/>
              </w:rPr>
              <w:t xml:space="preserve">as a last resort </w:t>
            </w:r>
            <w:r w:rsidR="0297B78B" w:rsidRPr="07D69FAB">
              <w:rPr>
                <w:rFonts w:ascii="Calibri" w:eastAsia="Calibri" w:hAnsi="Calibri" w:cs="Calibri"/>
                <w:lang w:val="en-CA"/>
              </w:rPr>
              <w:t>compliance pathway</w:t>
            </w:r>
            <w:r w:rsidR="6FC8E342" w:rsidRPr="07D69FAB">
              <w:rPr>
                <w:rFonts w:ascii="Calibri" w:eastAsia="Calibri" w:hAnsi="Calibri" w:cs="Calibri"/>
                <w:lang w:val="en-CA"/>
              </w:rPr>
              <w:t xml:space="preserve">, </w:t>
            </w:r>
            <w:r w:rsidR="59CE9208" w:rsidRPr="07D69FAB">
              <w:rPr>
                <w:rFonts w:ascii="Calibri" w:eastAsia="Calibri" w:hAnsi="Calibri" w:cs="Calibri"/>
                <w:lang w:val="en-CA"/>
              </w:rPr>
              <w:t>creat</w:t>
            </w:r>
            <w:r w:rsidR="50C361D5" w:rsidRPr="07D69FAB">
              <w:rPr>
                <w:rFonts w:ascii="Calibri" w:eastAsia="Calibri" w:hAnsi="Calibri" w:cs="Calibri"/>
                <w:lang w:val="en-CA"/>
              </w:rPr>
              <w:t>ing</w:t>
            </w:r>
            <w:r w:rsidR="59CE9208" w:rsidRPr="07D69FAB">
              <w:rPr>
                <w:rFonts w:ascii="Calibri" w:eastAsia="Calibri" w:hAnsi="Calibri" w:cs="Calibri"/>
                <w:lang w:val="en-CA"/>
              </w:rPr>
              <w:t xml:space="preserve"> predictable financial consequences for non-compliance. </w:t>
            </w:r>
          </w:p>
        </w:tc>
      </w:tr>
      <w:tr w:rsidR="004529B8" w:rsidRPr="00500BCC" w14:paraId="005092D3" w14:textId="77777777" w:rsidTr="002A4ED0">
        <w:trPr>
          <w:trHeight w:val="300"/>
        </w:trPr>
        <w:tc>
          <w:tcPr>
            <w:tcW w:w="5000" w:type="pct"/>
          </w:tcPr>
          <w:p w14:paraId="1AE73D7A" w14:textId="77777777" w:rsidR="004529B8" w:rsidRPr="00500BCC" w:rsidRDefault="004529B8" w:rsidP="0032199F">
            <w:pPr>
              <w:pStyle w:val="ListParagraph"/>
              <w:numPr>
                <w:ilvl w:val="0"/>
                <w:numId w:val="26"/>
              </w:numPr>
              <w:rPr>
                <w:b/>
                <w:bCs/>
                <w:lang w:val="en-CA"/>
              </w:rPr>
            </w:pPr>
            <w:r w:rsidRPr="00500BCC">
              <w:rPr>
                <w:rFonts w:ascii="Calibri" w:eastAsia="Calibri" w:hAnsi="Calibri" w:cs="Calibri"/>
                <w:b/>
                <w:bCs/>
                <w:lang w:val="en-CA"/>
              </w:rPr>
              <w:t>DEFICIT TIME LIMIT</w:t>
            </w:r>
          </w:p>
          <w:p w14:paraId="342E32A9" w14:textId="094A4DC4" w:rsidR="004529B8" w:rsidRPr="00500BCC" w:rsidRDefault="308DD9D2" w:rsidP="588B53DA">
            <w:pPr>
              <w:rPr>
                <w:rFonts w:ascii="Calibri" w:eastAsia="Calibri" w:hAnsi="Calibri" w:cs="Calibri"/>
                <w:lang w:val="en-CA"/>
              </w:rPr>
            </w:pPr>
            <w:r w:rsidRPr="07D69FAB">
              <w:rPr>
                <w:rFonts w:ascii="Calibri" w:eastAsia="Calibri" w:hAnsi="Calibri" w:cs="Calibri"/>
                <w:lang w:val="en-CA"/>
              </w:rPr>
              <w:t xml:space="preserve">Establish </w:t>
            </w:r>
            <w:r w:rsidR="34ABCB92" w:rsidRPr="07D69FAB">
              <w:rPr>
                <w:rFonts w:ascii="Calibri" w:eastAsia="Calibri" w:hAnsi="Calibri" w:cs="Calibri"/>
                <w:lang w:val="en-CA"/>
              </w:rPr>
              <w:t xml:space="preserve">a </w:t>
            </w:r>
            <w:r w:rsidR="611BED4F" w:rsidRPr="07D69FAB">
              <w:rPr>
                <w:rFonts w:ascii="Calibri" w:eastAsia="Calibri" w:hAnsi="Calibri" w:cs="Calibri"/>
                <w:lang w:val="en-CA"/>
              </w:rPr>
              <w:t xml:space="preserve">credit </w:t>
            </w:r>
            <w:r w:rsidR="34ABCB92" w:rsidRPr="07D69FAB">
              <w:rPr>
                <w:rFonts w:ascii="Calibri" w:eastAsia="Calibri" w:hAnsi="Calibri" w:cs="Calibri"/>
                <w:lang w:val="en-CA"/>
              </w:rPr>
              <w:t>clearance mechanism</w:t>
            </w:r>
            <w:r w:rsidR="55DD8B1B" w:rsidRPr="07D69FAB">
              <w:rPr>
                <w:rFonts w:ascii="Calibri" w:eastAsia="Calibri" w:hAnsi="Calibri" w:cs="Calibri"/>
                <w:lang w:val="en-CA"/>
              </w:rPr>
              <w:t xml:space="preserve"> </w:t>
            </w:r>
            <w:r w:rsidR="30809769" w:rsidRPr="07D69FAB">
              <w:rPr>
                <w:rFonts w:ascii="Calibri" w:eastAsia="Calibri" w:hAnsi="Calibri" w:cs="Calibri"/>
                <w:lang w:val="en-CA"/>
              </w:rPr>
              <w:t xml:space="preserve">and </w:t>
            </w:r>
            <w:r w:rsidR="0B65A44C" w:rsidRPr="07D69FAB">
              <w:rPr>
                <w:rFonts w:ascii="Calibri" w:eastAsia="Calibri" w:hAnsi="Calibri" w:cs="Calibri"/>
                <w:lang w:val="en-CA"/>
              </w:rPr>
              <w:t xml:space="preserve">limit credit debt that can be carried forward to </w:t>
            </w:r>
            <w:r w:rsidR="55DD8B1B" w:rsidRPr="07D69FAB">
              <w:rPr>
                <w:rFonts w:ascii="Calibri" w:eastAsia="Calibri" w:hAnsi="Calibri" w:cs="Calibri"/>
                <w:lang w:val="en-CA"/>
              </w:rPr>
              <w:t>10% of annual compliance</w:t>
            </w:r>
            <w:r w:rsidR="0F753CC4" w:rsidRPr="07D69FAB">
              <w:rPr>
                <w:rFonts w:ascii="Calibri" w:eastAsia="Calibri" w:hAnsi="Calibri" w:cs="Calibri"/>
                <w:lang w:val="en-CA"/>
              </w:rPr>
              <w:t xml:space="preserve"> obligations</w:t>
            </w:r>
            <w:r w:rsidR="034A0C31" w:rsidRPr="07D69FAB">
              <w:rPr>
                <w:rFonts w:ascii="Calibri" w:eastAsia="Calibri" w:hAnsi="Calibri" w:cs="Calibri"/>
                <w:lang w:val="en-CA"/>
              </w:rPr>
              <w:t>.</w:t>
            </w:r>
          </w:p>
        </w:tc>
      </w:tr>
      <w:tr w:rsidR="00D77104" w:rsidRPr="00500BCC" w14:paraId="33FCEB73" w14:textId="77777777" w:rsidTr="002A4ED0">
        <w:trPr>
          <w:trHeight w:val="300"/>
        </w:trPr>
        <w:tc>
          <w:tcPr>
            <w:tcW w:w="5000" w:type="pct"/>
          </w:tcPr>
          <w:p w14:paraId="24DFF316" w14:textId="77777777" w:rsidR="00D77104" w:rsidRPr="00500BCC" w:rsidRDefault="00D77104" w:rsidP="0032199F">
            <w:pPr>
              <w:pStyle w:val="ListParagraph"/>
              <w:numPr>
                <w:ilvl w:val="0"/>
                <w:numId w:val="26"/>
              </w:numPr>
              <w:rPr>
                <w:b/>
                <w:bCs/>
                <w:lang w:val="en-CA"/>
              </w:rPr>
            </w:pPr>
            <w:r w:rsidRPr="00500BCC">
              <w:rPr>
                <w:rFonts w:ascii="Calibri" w:eastAsia="Calibri" w:hAnsi="Calibri" w:cs="Calibri"/>
                <w:b/>
                <w:bCs/>
                <w:lang w:val="en-CA"/>
              </w:rPr>
              <w:t>CREDIT LIFESPAN</w:t>
            </w:r>
          </w:p>
          <w:p w14:paraId="324C4B99" w14:textId="3DE52946" w:rsidR="00D77104" w:rsidRPr="00500BCC" w:rsidRDefault="00D77104" w:rsidP="0032199F">
            <w:pPr>
              <w:rPr>
                <w:lang w:val="en-CA"/>
              </w:rPr>
            </w:pPr>
            <w:r w:rsidRPr="00500BCC">
              <w:rPr>
                <w:rFonts w:ascii="Calibri" w:eastAsia="Calibri" w:hAnsi="Calibri" w:cs="Calibri"/>
                <w:lang w:val="en-CA"/>
              </w:rPr>
              <w:t xml:space="preserve">Reduce lifespan for banked credits to </w:t>
            </w:r>
            <w:r w:rsidR="00BC25BB" w:rsidRPr="00500BCC">
              <w:rPr>
                <w:rFonts w:ascii="Calibri" w:eastAsia="Calibri" w:hAnsi="Calibri" w:cs="Calibri"/>
                <w:lang w:val="en-CA"/>
              </w:rPr>
              <w:t xml:space="preserve">3 </w:t>
            </w:r>
            <w:r w:rsidRPr="00500BCC">
              <w:rPr>
                <w:rFonts w:ascii="Calibri" w:eastAsia="Calibri" w:hAnsi="Calibri" w:cs="Calibri"/>
                <w:lang w:val="en-CA"/>
              </w:rPr>
              <w:t>years.</w:t>
            </w:r>
          </w:p>
        </w:tc>
      </w:tr>
      <w:tr w:rsidR="00D140CE" w:rsidRPr="00500BCC" w14:paraId="3EB040DD" w14:textId="77777777" w:rsidTr="002A4ED0">
        <w:trPr>
          <w:trHeight w:val="300"/>
        </w:trPr>
        <w:tc>
          <w:tcPr>
            <w:tcW w:w="5000" w:type="pct"/>
          </w:tcPr>
          <w:p w14:paraId="7CD2063C" w14:textId="39826A1E" w:rsidR="0158AEDC" w:rsidRPr="00500BCC" w:rsidRDefault="0158AEDC" w:rsidP="00D140CE">
            <w:pPr>
              <w:pStyle w:val="ListParagraph"/>
              <w:numPr>
                <w:ilvl w:val="0"/>
                <w:numId w:val="26"/>
              </w:numPr>
              <w:rPr>
                <w:b/>
                <w:bCs/>
                <w:lang w:val="en-CA"/>
              </w:rPr>
            </w:pPr>
            <w:r w:rsidRPr="00500BCC">
              <w:rPr>
                <w:rFonts w:ascii="Calibri" w:eastAsia="Calibri" w:hAnsi="Calibri" w:cs="Calibri"/>
                <w:b/>
                <w:bCs/>
                <w:lang w:val="en-CA"/>
              </w:rPr>
              <w:t>PHEV CREDITS AND CAPS</w:t>
            </w:r>
          </w:p>
          <w:p w14:paraId="2C7BE17F" w14:textId="23DFA41B" w:rsidR="00AA660E" w:rsidRPr="00500BCC" w:rsidRDefault="0158AEDC" w:rsidP="00D140CE">
            <w:pPr>
              <w:rPr>
                <w:rFonts w:ascii="Calibri" w:eastAsia="Calibri" w:hAnsi="Calibri" w:cs="Calibri"/>
                <w:lang w:val="en-CA"/>
              </w:rPr>
            </w:pPr>
            <w:r w:rsidRPr="07D69FAB">
              <w:rPr>
                <w:rFonts w:ascii="Calibri" w:eastAsia="Calibri" w:hAnsi="Calibri" w:cs="Calibri"/>
                <w:lang w:val="en-CA"/>
              </w:rPr>
              <w:t xml:space="preserve">Reduce </w:t>
            </w:r>
            <w:r w:rsidR="7FA2175A" w:rsidRPr="07D69FAB">
              <w:rPr>
                <w:rFonts w:ascii="Calibri" w:eastAsia="Calibri" w:hAnsi="Calibri" w:cs="Calibri"/>
                <w:lang w:val="en-CA"/>
              </w:rPr>
              <w:t xml:space="preserve">credits and </w:t>
            </w:r>
            <w:r w:rsidRPr="07D69FAB">
              <w:rPr>
                <w:rFonts w:ascii="Calibri" w:eastAsia="Calibri" w:hAnsi="Calibri" w:cs="Calibri"/>
                <w:lang w:val="en-CA"/>
              </w:rPr>
              <w:t>compliance caps for PHEV sales</w:t>
            </w:r>
          </w:p>
        </w:tc>
      </w:tr>
    </w:tbl>
    <w:p w14:paraId="05103777" w14:textId="77777777" w:rsidR="00415694" w:rsidRPr="00500BCC" w:rsidRDefault="00415694">
      <w:pPr>
        <w:rPr>
          <w:b/>
          <w:bCs/>
          <w:sz w:val="32"/>
          <w:szCs w:val="32"/>
          <w:lang w:val="en-CA"/>
        </w:rPr>
      </w:pPr>
      <w:bookmarkStart w:id="8" w:name="_Toc128035332"/>
      <w:bookmarkStart w:id="9" w:name="_Toc254203774"/>
      <w:r w:rsidRPr="00500BCC">
        <w:rPr>
          <w:lang w:val="en-CA"/>
        </w:rPr>
        <w:br w:type="page"/>
      </w:r>
    </w:p>
    <w:p w14:paraId="1CE182E0" w14:textId="44DD9E57" w:rsidR="00D93310" w:rsidRPr="00500BCC" w:rsidRDefault="00D93310" w:rsidP="00AC3B57">
      <w:pPr>
        <w:pStyle w:val="Heading1"/>
      </w:pPr>
      <w:bookmarkStart w:id="10" w:name="_Toc129792100"/>
      <w:r w:rsidRPr="00500BCC">
        <w:lastRenderedPageBreak/>
        <w:t>EMC Comments</w:t>
      </w:r>
      <w:r w:rsidR="004B75D0" w:rsidRPr="00500BCC">
        <w:t xml:space="preserve"> </w:t>
      </w:r>
      <w:r w:rsidR="008D1CE2" w:rsidRPr="00500BCC">
        <w:t>and Recommendations</w:t>
      </w:r>
      <w:r w:rsidR="006011BC" w:rsidRPr="00500BCC">
        <w:t xml:space="preserve"> on the Regulatory Impact Analysis Statement</w:t>
      </w:r>
      <w:bookmarkEnd w:id="8"/>
      <w:bookmarkEnd w:id="10"/>
      <w:r w:rsidR="006011BC" w:rsidRPr="00500BCC">
        <w:t xml:space="preserve"> </w:t>
      </w:r>
      <w:bookmarkEnd w:id="9"/>
    </w:p>
    <w:p w14:paraId="76211ACB" w14:textId="77777777" w:rsidR="003F5B66" w:rsidRDefault="003F5B66" w:rsidP="00397C89">
      <w:pPr>
        <w:pStyle w:val="NoSpacing"/>
        <w:rPr>
          <w:lang w:val="en-CA"/>
        </w:rPr>
      </w:pPr>
    </w:p>
    <w:p w14:paraId="46427292" w14:textId="7ABC9968" w:rsidR="00443EA8" w:rsidRDefault="003F5B66" w:rsidP="00397C89">
      <w:pPr>
        <w:pStyle w:val="NoSpacing"/>
        <w:rPr>
          <w:lang w:val="en-CA"/>
        </w:rPr>
      </w:pPr>
      <w:r>
        <w:rPr>
          <w:lang w:val="en-CA"/>
        </w:rPr>
        <w:t>The section titles under this chapter refer to</w:t>
      </w:r>
      <w:r w:rsidR="00443EA8">
        <w:rPr>
          <w:lang w:val="en-CA"/>
        </w:rPr>
        <w:t xml:space="preserve"> sections </w:t>
      </w:r>
      <w:r w:rsidR="009B7F49">
        <w:rPr>
          <w:lang w:val="en-CA"/>
        </w:rPr>
        <w:t xml:space="preserve">of </w:t>
      </w:r>
      <w:hyperlink r:id="rId21" w:history="1">
        <w:r w:rsidR="009B7F49" w:rsidRPr="001D3248">
          <w:rPr>
            <w:rStyle w:val="Hyperlink"/>
            <w:lang w:val="en-CA"/>
          </w:rPr>
          <w:t xml:space="preserve">Canada Gazette, Part 1, Volume 156, Number </w:t>
        </w:r>
        <w:r w:rsidR="00616136" w:rsidRPr="001D3248">
          <w:rPr>
            <w:rStyle w:val="Hyperlink"/>
            <w:lang w:val="en-CA"/>
          </w:rPr>
          <w:t>53: Regulations Amending the Passenger Automobile and Light Truck Greenhouse Gas Emission Regulation</w:t>
        </w:r>
      </w:hyperlink>
      <w:r w:rsidR="001D3248">
        <w:rPr>
          <w:lang w:val="en-CA"/>
        </w:rPr>
        <w:t xml:space="preserve"> </w:t>
      </w:r>
      <w:r w:rsidR="003518C9">
        <w:rPr>
          <w:lang w:val="en-CA"/>
        </w:rPr>
        <w:t>to facilitate insertion of o</w:t>
      </w:r>
      <w:r>
        <w:rPr>
          <w:lang w:val="en-CA"/>
        </w:rPr>
        <w:t xml:space="preserve">ur comments and recommendations in the online consultation tool. </w:t>
      </w:r>
    </w:p>
    <w:p w14:paraId="436BD7C9" w14:textId="77777777" w:rsidR="00443EA8" w:rsidRPr="00500BCC" w:rsidRDefault="00443EA8" w:rsidP="00397C89">
      <w:pPr>
        <w:pStyle w:val="NoSpacing"/>
        <w:rPr>
          <w:lang w:val="en-CA"/>
        </w:rPr>
      </w:pPr>
    </w:p>
    <w:p w14:paraId="05AF326B" w14:textId="5F063757" w:rsidR="00D673AF" w:rsidRPr="00500BCC" w:rsidRDefault="00D673AF" w:rsidP="00AC3B57">
      <w:pPr>
        <w:pStyle w:val="Heading2"/>
      </w:pPr>
      <w:bookmarkStart w:id="11" w:name="_Toc128035333"/>
      <w:bookmarkStart w:id="12" w:name="_Toc129792101"/>
      <w:bookmarkStart w:id="13" w:name="_Toc1092222852"/>
      <w:r w:rsidRPr="00500BCC">
        <w:t>General Comment</w:t>
      </w:r>
      <w:bookmarkEnd w:id="11"/>
      <w:r w:rsidR="004C6CBC">
        <w:t>s</w:t>
      </w:r>
      <w:bookmarkEnd w:id="12"/>
      <w:r w:rsidRPr="00500BCC">
        <w:t xml:space="preserve"> </w:t>
      </w:r>
      <w:bookmarkEnd w:id="13"/>
    </w:p>
    <w:p w14:paraId="13A4A072" w14:textId="72CA0B41" w:rsidR="006275B1" w:rsidRPr="00500BCC" w:rsidRDefault="006275B1" w:rsidP="00CB5184">
      <w:pPr>
        <w:pStyle w:val="NoSpacing"/>
        <w:rPr>
          <w:lang w:val="en-CA"/>
        </w:rPr>
      </w:pPr>
    </w:p>
    <w:p w14:paraId="22CC98FB" w14:textId="603EEBF2" w:rsidR="003647EC" w:rsidRPr="00500BCC" w:rsidRDefault="13CACDFF" w:rsidP="008847CF">
      <w:pPr>
        <w:pStyle w:val="NoSpacing"/>
        <w:rPr>
          <w:rStyle w:val="eop"/>
          <w:lang w:val="en-CA"/>
        </w:rPr>
      </w:pPr>
      <w:r w:rsidRPr="2B5C478F">
        <w:rPr>
          <w:rStyle w:val="eop"/>
          <w:lang w:val="en-CA"/>
        </w:rPr>
        <w:t xml:space="preserve">EMC identifies multiple problematic elements in the proposed regulations that will severely limit results </w:t>
      </w:r>
      <w:r w:rsidR="004C6CBC">
        <w:rPr>
          <w:rStyle w:val="eop"/>
          <w:lang w:val="en-CA"/>
        </w:rPr>
        <w:t xml:space="preserve">in </w:t>
      </w:r>
      <w:r w:rsidR="00600F81">
        <w:rPr>
          <w:rStyle w:val="eop"/>
          <w:lang w:val="en-CA"/>
        </w:rPr>
        <w:t>achieving</w:t>
      </w:r>
      <w:r w:rsidR="004C6CBC" w:rsidRPr="2B5C478F">
        <w:rPr>
          <w:rStyle w:val="eop"/>
          <w:lang w:val="en-CA"/>
        </w:rPr>
        <w:t xml:space="preserve"> </w:t>
      </w:r>
      <w:r w:rsidRPr="2B5C478F">
        <w:rPr>
          <w:rStyle w:val="eop"/>
          <w:lang w:val="en-CA"/>
        </w:rPr>
        <w:t>GHG emission reductions and increasing ZEV supply while also jeopardizing the overall target of 100% ZEV sales by 2035</w:t>
      </w:r>
      <w:r w:rsidR="02DC02AD" w:rsidRPr="2B5C478F">
        <w:rPr>
          <w:rStyle w:val="eop"/>
          <w:lang w:val="en-CA"/>
        </w:rPr>
        <w:t>.</w:t>
      </w:r>
      <w:r w:rsidRPr="2B5C478F">
        <w:rPr>
          <w:rStyle w:val="eop"/>
          <w:lang w:val="en-CA"/>
        </w:rPr>
        <w:t xml:space="preserve"> Low targets </w:t>
      </w:r>
      <w:r w:rsidR="62552B2D" w:rsidRPr="2B5C478F">
        <w:rPr>
          <w:rStyle w:val="eop"/>
          <w:lang w:val="en-CA"/>
        </w:rPr>
        <w:t xml:space="preserve">and </w:t>
      </w:r>
      <w:r w:rsidRPr="2B5C478F">
        <w:rPr>
          <w:rStyle w:val="eop"/>
          <w:lang w:val="en-CA"/>
        </w:rPr>
        <w:t xml:space="preserve">a rolling credit debt flexibility will </w:t>
      </w:r>
      <w:r w:rsidR="57C38FF0" w:rsidRPr="2B5C478F">
        <w:rPr>
          <w:rStyle w:val="eop"/>
          <w:lang w:val="en-CA"/>
        </w:rPr>
        <w:t>delay increased ZEV supply and exacerbate regional distribution inequities</w:t>
      </w:r>
      <w:r w:rsidRPr="2B5C478F">
        <w:rPr>
          <w:rStyle w:val="eop"/>
          <w:lang w:val="en-CA"/>
        </w:rPr>
        <w:t xml:space="preserve">. The combined effects of these provisions significantly reduce the efficiency </w:t>
      </w:r>
      <w:r w:rsidR="642A7188" w:rsidRPr="2B5C478F">
        <w:rPr>
          <w:rStyle w:val="eop"/>
          <w:lang w:val="en-CA"/>
        </w:rPr>
        <w:t xml:space="preserve">of </w:t>
      </w:r>
      <w:r w:rsidRPr="2B5C478F">
        <w:rPr>
          <w:rStyle w:val="eop"/>
          <w:lang w:val="en-CA"/>
        </w:rPr>
        <w:t xml:space="preserve">the regulation. </w:t>
      </w:r>
    </w:p>
    <w:p w14:paraId="79EB7384" w14:textId="77777777" w:rsidR="00CB5184" w:rsidRPr="00500BCC" w:rsidRDefault="00CB5184" w:rsidP="00180AFE">
      <w:pPr>
        <w:pStyle w:val="NoSpacing"/>
        <w:rPr>
          <w:rStyle w:val="eop"/>
          <w:lang w:val="en-CA"/>
        </w:rPr>
      </w:pPr>
    </w:p>
    <w:p w14:paraId="1E15A6DC" w14:textId="4F696A50" w:rsidR="003647EC" w:rsidRPr="00500BCC" w:rsidRDefault="003647EC" w:rsidP="008847CF">
      <w:pPr>
        <w:pStyle w:val="NoSpacing"/>
        <w:rPr>
          <w:lang w:val="en-CA"/>
        </w:rPr>
      </w:pPr>
      <w:r w:rsidRPr="00500BCC">
        <w:rPr>
          <w:lang w:val="en-CA"/>
        </w:rPr>
        <w:t xml:space="preserve">The </w:t>
      </w:r>
      <w:r w:rsidR="00C26E11">
        <w:rPr>
          <w:lang w:val="en-CA"/>
        </w:rPr>
        <w:t xml:space="preserve">proposed </w:t>
      </w:r>
      <w:r w:rsidRPr="00500BCC">
        <w:rPr>
          <w:lang w:val="en-CA"/>
        </w:rPr>
        <w:t>ZEV sales targets are too low and</w:t>
      </w:r>
      <w:r w:rsidR="00873A38">
        <w:rPr>
          <w:lang w:val="en-CA"/>
        </w:rPr>
        <w:t>,</w:t>
      </w:r>
      <w:r w:rsidRPr="00500BCC">
        <w:rPr>
          <w:lang w:val="en-CA"/>
        </w:rPr>
        <w:t xml:space="preserve"> </w:t>
      </w:r>
      <w:r w:rsidR="00873A38" w:rsidRPr="00500BCC">
        <w:rPr>
          <w:lang w:val="en-CA"/>
        </w:rPr>
        <w:t>to avoid exacerbating regional supply inequities</w:t>
      </w:r>
      <w:r w:rsidR="00873A38">
        <w:rPr>
          <w:lang w:val="en-CA"/>
        </w:rPr>
        <w:t xml:space="preserve">, </w:t>
      </w:r>
      <w:r w:rsidRPr="00500BCC">
        <w:rPr>
          <w:lang w:val="en-CA"/>
        </w:rPr>
        <w:t xml:space="preserve">need to be aligned with those of leading jurisdictions </w:t>
      </w:r>
      <w:r w:rsidR="00C26E11">
        <w:rPr>
          <w:lang w:val="en-CA"/>
        </w:rPr>
        <w:t xml:space="preserve">as mentioned since 2019 by the federal government who </w:t>
      </w:r>
      <w:r w:rsidR="004A32CF">
        <w:rPr>
          <w:lang w:val="en-CA"/>
        </w:rPr>
        <w:t>announced</w:t>
      </w:r>
      <w:r w:rsidR="00C26E11">
        <w:rPr>
          <w:lang w:val="en-CA"/>
        </w:rPr>
        <w:t xml:space="preserve"> it would align with the most stringent regulation.</w:t>
      </w:r>
      <w:r w:rsidRPr="00500BCC">
        <w:rPr>
          <w:lang w:val="en-CA"/>
        </w:rPr>
        <w:t xml:space="preserve"> Addressing regional distribution is essential to ensure that all provinces have an equal chance in reaping the environmental, health and economic benefits of ZEVs. In addition to raising targets, Canada should also introduce an opt-in program in which provinces, territories or a group of provinces or territories could set subnational targets to be enforced federally through the national ZEV sales regulation. Finally, to avoid delayed action, especially in early years, Canada should establish a credit clearance mechanism that ensures that at least 90% of annual compliance targets are met each year, limits credit debt accumulation, and creates greater market certainty </w:t>
      </w:r>
      <w:r w:rsidR="007650CB">
        <w:rPr>
          <w:lang w:val="en-CA"/>
        </w:rPr>
        <w:t xml:space="preserve">and liquidity </w:t>
      </w:r>
      <w:r w:rsidRPr="00500BCC">
        <w:rPr>
          <w:lang w:val="en-CA"/>
        </w:rPr>
        <w:t xml:space="preserve">with a more predictable year-over-year compliance trajectory. </w:t>
      </w:r>
    </w:p>
    <w:p w14:paraId="79E21B9F" w14:textId="77777777" w:rsidR="00415694" w:rsidRPr="00500BCC" w:rsidRDefault="00415694" w:rsidP="00CB5184">
      <w:pPr>
        <w:pStyle w:val="NoSpacing"/>
        <w:rPr>
          <w:lang w:val="en-CA"/>
        </w:rPr>
      </w:pPr>
    </w:p>
    <w:p w14:paraId="7D7A42CE" w14:textId="6017BB50" w:rsidR="006275B1" w:rsidRPr="00500BCC" w:rsidRDefault="006275B1" w:rsidP="00AC3B57">
      <w:pPr>
        <w:pStyle w:val="Heading2"/>
      </w:pPr>
      <w:bookmarkStart w:id="14" w:name="_Toc1383436950"/>
      <w:bookmarkStart w:id="15" w:name="_Toc128035334"/>
      <w:bookmarkStart w:id="16" w:name="_Toc129792102"/>
      <w:r w:rsidRPr="00500BCC">
        <w:t>Executive summary</w:t>
      </w:r>
      <w:r w:rsidR="00877692" w:rsidRPr="00500BCC">
        <w:t xml:space="preserve"> section</w:t>
      </w:r>
      <w:bookmarkEnd w:id="14"/>
      <w:bookmarkEnd w:id="15"/>
      <w:bookmarkEnd w:id="16"/>
    </w:p>
    <w:p w14:paraId="69BF57A2" w14:textId="77777777" w:rsidR="00D673AF" w:rsidRPr="00500BCC" w:rsidRDefault="00D673AF" w:rsidP="00397C89">
      <w:pPr>
        <w:pStyle w:val="NoSpacing"/>
        <w:rPr>
          <w:lang w:val="en-CA"/>
        </w:rPr>
      </w:pPr>
    </w:p>
    <w:p w14:paraId="64CB768A" w14:textId="13326920" w:rsidR="00976F8C" w:rsidRPr="00500BCC" w:rsidRDefault="00976F8C" w:rsidP="00976F8C">
      <w:pPr>
        <w:pStyle w:val="NoSpacing"/>
        <w:rPr>
          <w:lang w:val="en-CA"/>
        </w:rPr>
      </w:pPr>
      <w:r w:rsidRPr="00500BCC">
        <w:rPr>
          <w:lang w:val="en-CA"/>
        </w:rPr>
        <w:t xml:space="preserve">Though EMC has publicly supported Canada’s targets (20% by 2026, 60% by 2030, and 100% by 2035), we estimate that market demand in 2025-2026 and the following years </w:t>
      </w:r>
      <w:r>
        <w:rPr>
          <w:lang w:val="en-CA"/>
        </w:rPr>
        <w:t>may very well</w:t>
      </w:r>
      <w:r w:rsidRPr="00500BCC">
        <w:rPr>
          <w:lang w:val="en-CA"/>
        </w:rPr>
        <w:t xml:space="preserve"> surpass the proposed targets. </w:t>
      </w:r>
      <w:r>
        <w:rPr>
          <w:lang w:val="en-CA"/>
        </w:rPr>
        <w:t xml:space="preserve">In European countries such as the UK, we have seen ZEV sales increase from 2,4% to 24% between H1-2019 and H1-2022. In December 2022, ZEV sales </w:t>
      </w:r>
      <w:r w:rsidR="001A229E">
        <w:rPr>
          <w:lang w:val="en-CA"/>
        </w:rPr>
        <w:t>in the UK reached 39</w:t>
      </w:r>
      <w:r>
        <w:rPr>
          <w:lang w:val="en-CA"/>
        </w:rPr>
        <w:t>,4%. In Germany, ZEV sales went from 3% to 26% between H1</w:t>
      </w:r>
      <w:r w:rsidR="001A229E">
        <w:rPr>
          <w:lang w:val="en-CA"/>
        </w:rPr>
        <w:t>-</w:t>
      </w:r>
      <w:r>
        <w:rPr>
          <w:lang w:val="en-CA"/>
        </w:rPr>
        <w:t>2019 and H1</w:t>
      </w:r>
      <w:r w:rsidR="001A229E">
        <w:rPr>
          <w:lang w:val="en-CA"/>
        </w:rPr>
        <w:t>-</w:t>
      </w:r>
      <w:r>
        <w:rPr>
          <w:lang w:val="en-CA"/>
        </w:rPr>
        <w:t xml:space="preserve">2022. In December 2022, ZEV sales </w:t>
      </w:r>
      <w:r w:rsidR="007B0FC9">
        <w:rPr>
          <w:lang w:val="en-CA"/>
        </w:rPr>
        <w:t>in Germany rose to</w:t>
      </w:r>
      <w:r>
        <w:rPr>
          <w:lang w:val="en-CA"/>
        </w:rPr>
        <w:t xml:space="preserve"> 55,4%. </w:t>
      </w:r>
      <w:r w:rsidRPr="00500BCC">
        <w:rPr>
          <w:lang w:val="en-CA"/>
        </w:rPr>
        <w:t>Also, Québec’s and British Colombia’s revised ZEV sales requirements for 2026 are set higher, at 26%. California’s ZEV requirement for 2026 is 35%</w:t>
      </w:r>
      <w:r w:rsidR="00F60CCB">
        <w:rPr>
          <w:lang w:val="en-CA"/>
        </w:rPr>
        <w:t xml:space="preserve">, and in </w:t>
      </w:r>
      <w:r w:rsidR="00C26E11">
        <w:rPr>
          <w:lang w:val="en-CA"/>
        </w:rPr>
        <w:t xml:space="preserve">Q4 2022, </w:t>
      </w:r>
      <w:r w:rsidR="00F60CCB">
        <w:rPr>
          <w:lang w:val="en-CA"/>
        </w:rPr>
        <w:t xml:space="preserve">their sales were </w:t>
      </w:r>
      <w:r w:rsidR="00C26E11">
        <w:rPr>
          <w:lang w:val="en-CA"/>
        </w:rPr>
        <w:t xml:space="preserve">at 24%. </w:t>
      </w:r>
      <w:r w:rsidRPr="00500BCC">
        <w:rPr>
          <w:rFonts w:ascii="Calibri" w:eastAsia="Calibri" w:hAnsi="Calibri" w:cs="Calibri"/>
          <w:color w:val="000000" w:themeColor="text1"/>
          <w:lang w:val="en-CA"/>
        </w:rPr>
        <w:t>For Canada’s ZEV regulation to effectively contribute to additional GHG emission reductions when comparing to an unregulated context, sales targets must be higher than the proposed levels. Aligning at a minimum with the targets of regulated provinces will also contribute to better supply distribution and ZEV availability in unregulated provinces.</w:t>
      </w:r>
    </w:p>
    <w:p w14:paraId="30A33A36" w14:textId="77777777" w:rsidR="00415694" w:rsidRPr="00500BCC" w:rsidRDefault="00415694" w:rsidP="00397C89">
      <w:pPr>
        <w:pStyle w:val="NoSpacing"/>
        <w:rPr>
          <w:lang w:val="en-CA"/>
        </w:rPr>
      </w:pPr>
    </w:p>
    <w:p w14:paraId="77DE1B9D" w14:textId="60021925" w:rsidR="00D13B12" w:rsidRPr="00500BCC" w:rsidRDefault="00D13B12" w:rsidP="00AC3B57">
      <w:pPr>
        <w:pStyle w:val="Heading2"/>
      </w:pPr>
      <w:bookmarkStart w:id="17" w:name="_Toc458841584"/>
      <w:bookmarkStart w:id="18" w:name="_Toc128035337"/>
      <w:bookmarkStart w:id="19" w:name="_Toc129792103"/>
      <w:r w:rsidRPr="00500BCC">
        <w:t>Objective section</w:t>
      </w:r>
      <w:bookmarkEnd w:id="17"/>
      <w:bookmarkEnd w:id="18"/>
      <w:bookmarkEnd w:id="19"/>
    </w:p>
    <w:p w14:paraId="44516620" w14:textId="77777777" w:rsidR="00D13B12" w:rsidRPr="00500BCC" w:rsidRDefault="00D13B12" w:rsidP="00877692">
      <w:pPr>
        <w:pStyle w:val="NoSpacing"/>
        <w:rPr>
          <w:lang w:val="en-CA"/>
        </w:rPr>
      </w:pPr>
    </w:p>
    <w:p w14:paraId="5981AD39" w14:textId="0AD285F5" w:rsidR="009560D1" w:rsidRPr="00500BCC" w:rsidRDefault="009A2383" w:rsidP="00BE0B58">
      <w:pPr>
        <w:pStyle w:val="NoSpacing"/>
        <w:rPr>
          <w:lang w:val="en-CA"/>
        </w:rPr>
      </w:pPr>
      <w:r>
        <w:rPr>
          <w:lang w:val="en-CA"/>
        </w:rPr>
        <w:t>Since t</w:t>
      </w:r>
      <w:r w:rsidR="0054425E" w:rsidRPr="00500BCC">
        <w:rPr>
          <w:lang w:val="en-CA"/>
        </w:rPr>
        <w:t>he</w:t>
      </w:r>
      <w:r w:rsidR="353FA2A7" w:rsidRPr="00500BCC">
        <w:rPr>
          <w:lang w:val="en-CA"/>
        </w:rPr>
        <w:t xml:space="preserve"> proposed </w:t>
      </w:r>
      <w:r w:rsidR="00C26E11">
        <w:rPr>
          <w:lang w:val="en-CA"/>
        </w:rPr>
        <w:t xml:space="preserve">ZEV </w:t>
      </w:r>
      <w:r w:rsidR="353FA2A7" w:rsidRPr="00500BCC">
        <w:rPr>
          <w:lang w:val="en-CA"/>
        </w:rPr>
        <w:t xml:space="preserve">sales targets </w:t>
      </w:r>
      <w:r w:rsidR="0054425E" w:rsidRPr="00500BCC">
        <w:rPr>
          <w:lang w:val="en-CA"/>
        </w:rPr>
        <w:t>are</w:t>
      </w:r>
      <w:r w:rsidR="353FA2A7" w:rsidRPr="00500BCC">
        <w:rPr>
          <w:lang w:val="en-CA"/>
        </w:rPr>
        <w:t xml:space="preserve"> lower than those of the ZEV mandates enforced in B.C. and Quebec</w:t>
      </w:r>
      <w:r w:rsidR="002B3DB1" w:rsidRPr="00500BCC">
        <w:rPr>
          <w:lang w:val="en-CA"/>
        </w:rPr>
        <w:t xml:space="preserve">, </w:t>
      </w:r>
      <w:r w:rsidR="353FA2A7" w:rsidRPr="00500BCC">
        <w:rPr>
          <w:lang w:val="en-CA"/>
        </w:rPr>
        <w:t>additional ZEV sales and GHG emission reductions in Canada that could result from a national ZEV regulation</w:t>
      </w:r>
      <w:r w:rsidR="000D619B">
        <w:rPr>
          <w:lang w:val="en-CA"/>
        </w:rPr>
        <w:t xml:space="preserve"> is minimal at best</w:t>
      </w:r>
      <w:r w:rsidR="353FA2A7" w:rsidRPr="00500BCC">
        <w:rPr>
          <w:lang w:val="en-CA"/>
        </w:rPr>
        <w:t xml:space="preserve"> because a significant portion of the national compliance obligations will be met through sales that would have occurred even without the Canadian regulation.</w:t>
      </w:r>
      <w:r w:rsidR="000D619B">
        <w:rPr>
          <w:lang w:val="en-CA"/>
        </w:rPr>
        <w:t xml:space="preserve"> </w:t>
      </w:r>
    </w:p>
    <w:p w14:paraId="654B0D41" w14:textId="47616DCE" w:rsidR="00D13B12" w:rsidRPr="00500BCC" w:rsidRDefault="00D13B12" w:rsidP="00AC3B57">
      <w:pPr>
        <w:pStyle w:val="Heading2"/>
      </w:pPr>
      <w:bookmarkStart w:id="20" w:name="_Toc128035338"/>
      <w:bookmarkStart w:id="21" w:name="_Toc129792104"/>
      <w:bookmarkStart w:id="22" w:name="_Toc2145060099"/>
      <w:r w:rsidRPr="00500BCC">
        <w:lastRenderedPageBreak/>
        <w:t>Description section</w:t>
      </w:r>
      <w:bookmarkEnd w:id="20"/>
      <w:bookmarkEnd w:id="21"/>
      <w:r w:rsidRPr="00500BCC">
        <w:t xml:space="preserve"> </w:t>
      </w:r>
      <w:bookmarkEnd w:id="22"/>
    </w:p>
    <w:p w14:paraId="0BA8F85E" w14:textId="77777777" w:rsidR="00877692" w:rsidRPr="00500BCC" w:rsidRDefault="00877692" w:rsidP="00397C89">
      <w:pPr>
        <w:pStyle w:val="NoSpacing"/>
        <w:rPr>
          <w:lang w:val="en-CA"/>
        </w:rPr>
      </w:pPr>
    </w:p>
    <w:p w14:paraId="605C1442" w14:textId="2039085A" w:rsidR="00C15526" w:rsidRPr="00500BCC" w:rsidRDefault="00C15526" w:rsidP="00AC3B57">
      <w:pPr>
        <w:pStyle w:val="Heading3"/>
      </w:pPr>
      <w:bookmarkStart w:id="23" w:name="_ZEV_Sales_Targets"/>
      <w:bookmarkStart w:id="24" w:name="_Toc128035339"/>
      <w:bookmarkStart w:id="25" w:name="_Toc129792105"/>
      <w:bookmarkStart w:id="26" w:name="_Toc275426994"/>
      <w:bookmarkEnd w:id="23"/>
      <w:r w:rsidRPr="00500BCC">
        <w:t>ZEV Sales Targets</w:t>
      </w:r>
      <w:bookmarkEnd w:id="24"/>
      <w:bookmarkEnd w:id="25"/>
      <w:r w:rsidRPr="00500BCC">
        <w:t xml:space="preserve"> </w:t>
      </w:r>
      <w:bookmarkEnd w:id="26"/>
    </w:p>
    <w:p w14:paraId="5E8B70D4" w14:textId="77777777" w:rsidR="00AC3B57" w:rsidRPr="00500BCC" w:rsidRDefault="00AC3B57" w:rsidP="00397C89">
      <w:pPr>
        <w:pStyle w:val="NoSpacing"/>
        <w:rPr>
          <w:lang w:val="en-CA"/>
        </w:rPr>
      </w:pPr>
    </w:p>
    <w:p w14:paraId="118C954B" w14:textId="782E747B" w:rsidR="00B8583C" w:rsidRPr="00500BCC" w:rsidRDefault="00D764E3" w:rsidP="008847CF">
      <w:pPr>
        <w:pStyle w:val="NoSpacing"/>
        <w:rPr>
          <w:lang w:val="en-CA"/>
        </w:rPr>
      </w:pPr>
      <w:r>
        <w:rPr>
          <w:lang w:val="en-CA"/>
        </w:rPr>
        <w:t>The c</w:t>
      </w:r>
      <w:r w:rsidR="00B8583C" w:rsidRPr="00500BCC">
        <w:rPr>
          <w:lang w:val="en-CA"/>
        </w:rPr>
        <w:t xml:space="preserve">urrent </w:t>
      </w:r>
      <w:r w:rsidR="004F607E" w:rsidRPr="00500BCC">
        <w:rPr>
          <w:lang w:val="en-CA"/>
        </w:rPr>
        <w:t>proposed ZEV sales target</w:t>
      </w:r>
      <w:r w:rsidR="002F0BB0" w:rsidRPr="00500BCC">
        <w:rPr>
          <w:lang w:val="en-CA"/>
        </w:rPr>
        <w:t xml:space="preserve">s are not aligned with the most stringent </w:t>
      </w:r>
      <w:r w:rsidR="0072240B" w:rsidRPr="00500BCC">
        <w:rPr>
          <w:lang w:val="en-CA"/>
        </w:rPr>
        <w:t xml:space="preserve">regulations in North America. </w:t>
      </w:r>
      <w:r w:rsidR="00173B88" w:rsidRPr="00500BCC">
        <w:rPr>
          <w:lang w:val="en-CA"/>
        </w:rPr>
        <w:t xml:space="preserve">Québec, </w:t>
      </w:r>
      <w:r w:rsidR="137D6502" w:rsidRPr="00500BCC">
        <w:rPr>
          <w:lang w:val="en-CA"/>
        </w:rPr>
        <w:t>B</w:t>
      </w:r>
      <w:r w:rsidR="008563E5">
        <w:rPr>
          <w:lang w:val="en-CA"/>
        </w:rPr>
        <w:t>.</w:t>
      </w:r>
      <w:r w:rsidR="137D6502" w:rsidRPr="00500BCC">
        <w:rPr>
          <w:lang w:val="en-CA"/>
        </w:rPr>
        <w:t>C</w:t>
      </w:r>
      <w:r w:rsidR="008563E5">
        <w:rPr>
          <w:lang w:val="en-CA"/>
        </w:rPr>
        <w:t>.</w:t>
      </w:r>
      <w:r w:rsidR="137D6502" w:rsidRPr="00500BCC">
        <w:rPr>
          <w:lang w:val="en-CA"/>
        </w:rPr>
        <w:t>,</w:t>
      </w:r>
      <w:r w:rsidR="00173B88" w:rsidRPr="00500BCC">
        <w:rPr>
          <w:lang w:val="en-CA"/>
        </w:rPr>
        <w:t xml:space="preserve"> and California all have more stringent</w:t>
      </w:r>
      <w:r w:rsidR="00CC4505" w:rsidRPr="00500BCC">
        <w:rPr>
          <w:lang w:val="en-CA"/>
        </w:rPr>
        <w:t xml:space="preserve"> regulations </w:t>
      </w:r>
      <w:r w:rsidR="6F7B0C1C" w:rsidRPr="00500BCC">
        <w:rPr>
          <w:lang w:val="en-CA"/>
        </w:rPr>
        <w:t xml:space="preserve">or </w:t>
      </w:r>
      <w:r w:rsidR="00CC4505" w:rsidRPr="00500BCC">
        <w:rPr>
          <w:lang w:val="en-CA"/>
        </w:rPr>
        <w:t>proposed amendments for post-2025</w:t>
      </w:r>
      <w:r w:rsidR="42EFBC64" w:rsidRPr="00500BCC">
        <w:rPr>
          <w:lang w:val="en-CA"/>
        </w:rPr>
        <w:t xml:space="preserve"> </w:t>
      </w:r>
      <w:r w:rsidR="4CDC5FE2" w:rsidRPr="00500BCC">
        <w:rPr>
          <w:lang w:val="en-CA"/>
        </w:rPr>
        <w:t xml:space="preserve">with at least 26% by 2026 and </w:t>
      </w:r>
      <w:r w:rsidR="002A203E" w:rsidRPr="00500BCC">
        <w:rPr>
          <w:lang w:val="en-CA"/>
        </w:rPr>
        <w:t>90</w:t>
      </w:r>
      <w:r w:rsidR="4CDC5FE2" w:rsidRPr="00500BCC">
        <w:rPr>
          <w:lang w:val="en-CA"/>
        </w:rPr>
        <w:t>% by 2030</w:t>
      </w:r>
      <w:r w:rsidR="00CC4505" w:rsidRPr="00500BCC">
        <w:rPr>
          <w:lang w:val="en-CA"/>
        </w:rPr>
        <w:t xml:space="preserve">. </w:t>
      </w:r>
      <w:r w:rsidR="00D44175" w:rsidRPr="00500BCC">
        <w:rPr>
          <w:lang w:val="en-CA"/>
        </w:rPr>
        <w:t xml:space="preserve">Proposed </w:t>
      </w:r>
      <w:r w:rsidR="733CCE4C" w:rsidRPr="00500BCC">
        <w:rPr>
          <w:lang w:val="en-CA"/>
        </w:rPr>
        <w:t xml:space="preserve">Canadian </w:t>
      </w:r>
      <w:r w:rsidR="0CD17D56" w:rsidRPr="00500BCC">
        <w:rPr>
          <w:lang w:val="en-CA"/>
        </w:rPr>
        <w:t xml:space="preserve">requirements </w:t>
      </w:r>
      <w:r w:rsidR="00D44175" w:rsidRPr="00500BCC">
        <w:rPr>
          <w:lang w:val="en-CA"/>
        </w:rPr>
        <w:t xml:space="preserve">are </w:t>
      </w:r>
      <w:r w:rsidR="00673D16" w:rsidRPr="00500BCC">
        <w:rPr>
          <w:lang w:val="en-CA"/>
        </w:rPr>
        <w:t xml:space="preserve">much </w:t>
      </w:r>
      <w:r w:rsidR="00D44175" w:rsidRPr="00500BCC">
        <w:rPr>
          <w:lang w:val="en-CA"/>
        </w:rPr>
        <w:t xml:space="preserve">lower </w:t>
      </w:r>
      <w:r w:rsidR="00B13E05" w:rsidRPr="00500BCC">
        <w:rPr>
          <w:lang w:val="en-CA"/>
        </w:rPr>
        <w:t xml:space="preserve">than all three, </w:t>
      </w:r>
      <w:r w:rsidR="00D44175" w:rsidRPr="00500BCC">
        <w:rPr>
          <w:lang w:val="en-CA"/>
        </w:rPr>
        <w:t>through to 2031</w:t>
      </w:r>
      <w:r w:rsidR="002A203E" w:rsidRPr="00500BCC">
        <w:rPr>
          <w:lang w:val="en-CA"/>
        </w:rPr>
        <w:t xml:space="preserve"> at which point they are still below B.C. and Quebec</w:t>
      </w:r>
      <w:r w:rsidR="00D44175" w:rsidRPr="00500BCC">
        <w:rPr>
          <w:lang w:val="en-CA"/>
        </w:rPr>
        <w:t xml:space="preserve">. </w:t>
      </w:r>
      <w:r w:rsidR="00501233" w:rsidRPr="00500BCC">
        <w:rPr>
          <w:lang w:val="en-CA"/>
        </w:rPr>
        <w:t xml:space="preserve">Canadian ZEV Sales targets </w:t>
      </w:r>
      <w:r w:rsidR="005022FE" w:rsidRPr="00500BCC">
        <w:rPr>
          <w:lang w:val="en-CA"/>
        </w:rPr>
        <w:t>should</w:t>
      </w:r>
      <w:r w:rsidR="00501233" w:rsidRPr="00500BCC">
        <w:rPr>
          <w:lang w:val="en-CA"/>
        </w:rPr>
        <w:t xml:space="preserve"> at least </w:t>
      </w:r>
      <w:r w:rsidR="00242EC7" w:rsidRPr="00500BCC">
        <w:rPr>
          <w:lang w:val="en-CA"/>
        </w:rPr>
        <w:t>align more closely with</w:t>
      </w:r>
      <w:r w:rsidR="005D5584" w:rsidRPr="00500BCC">
        <w:rPr>
          <w:lang w:val="en-CA"/>
        </w:rPr>
        <w:t xml:space="preserve"> provincial standard</w:t>
      </w:r>
      <w:r w:rsidR="00242EC7" w:rsidRPr="00500BCC">
        <w:rPr>
          <w:lang w:val="en-CA"/>
        </w:rPr>
        <w:t>s</w:t>
      </w:r>
      <w:r w:rsidR="00AB4972" w:rsidRPr="00500BCC">
        <w:rPr>
          <w:lang w:val="en-CA"/>
        </w:rPr>
        <w:t xml:space="preserve"> in Canada</w:t>
      </w:r>
      <w:r w:rsidR="00242EC7" w:rsidRPr="00500BCC">
        <w:rPr>
          <w:lang w:val="en-CA"/>
        </w:rPr>
        <w:t xml:space="preserve">, especially if </w:t>
      </w:r>
      <w:r w:rsidR="00936A5B" w:rsidRPr="00500BCC">
        <w:rPr>
          <w:lang w:val="en-CA"/>
        </w:rPr>
        <w:t>interaction with</w:t>
      </w:r>
      <w:r w:rsidR="00B040F0" w:rsidRPr="00500BCC">
        <w:rPr>
          <w:lang w:val="en-CA"/>
        </w:rPr>
        <w:t xml:space="preserve"> provincial </w:t>
      </w:r>
      <w:r w:rsidR="00936A5B" w:rsidRPr="00500BCC">
        <w:rPr>
          <w:lang w:val="en-CA"/>
        </w:rPr>
        <w:t>ZEV mandates is not regulated</w:t>
      </w:r>
      <w:r w:rsidR="00B70C3E" w:rsidRPr="00500BCC">
        <w:rPr>
          <w:lang w:val="en-CA"/>
        </w:rPr>
        <w:t xml:space="preserve">. </w:t>
      </w:r>
    </w:p>
    <w:p w14:paraId="2D86DD3C" w14:textId="77777777" w:rsidR="002F4829" w:rsidRPr="00500BCC" w:rsidRDefault="002F4829" w:rsidP="00397C89">
      <w:pPr>
        <w:pStyle w:val="NoSpacing"/>
        <w:rPr>
          <w:lang w:val="en-CA"/>
        </w:rPr>
      </w:pPr>
    </w:p>
    <w:p w14:paraId="79D82B87" w14:textId="6307B21C" w:rsidR="00643C37" w:rsidRPr="00500BCC" w:rsidRDefault="00643C37" w:rsidP="008847CF">
      <w:pPr>
        <w:pStyle w:val="NoSpacing"/>
        <w:rPr>
          <w:lang w:val="en-CA"/>
        </w:rPr>
      </w:pPr>
      <w:r w:rsidRPr="00500BCC">
        <w:rPr>
          <w:lang w:val="en-CA"/>
        </w:rPr>
        <w:t>In 2021, more than 70% of new ZEV sales in Canada where registered in B.C. and Quebec. Manufacturers will continue to prioritize these two markets to meet their obligations under the provincial ZEV mandates</w:t>
      </w:r>
      <w:r w:rsidR="00415DA2" w:rsidRPr="00500BCC">
        <w:rPr>
          <w:lang w:val="en-CA"/>
        </w:rPr>
        <w:t xml:space="preserve"> in place</w:t>
      </w:r>
      <w:r w:rsidRPr="00500BCC">
        <w:rPr>
          <w:lang w:val="en-CA"/>
        </w:rPr>
        <w:t xml:space="preserve">. Sales in these regulated markets will happen regardless of </w:t>
      </w:r>
      <w:r w:rsidR="00415DA2" w:rsidRPr="00500BCC">
        <w:rPr>
          <w:lang w:val="en-CA"/>
        </w:rPr>
        <w:t xml:space="preserve">any </w:t>
      </w:r>
      <w:r w:rsidRPr="00500BCC">
        <w:rPr>
          <w:lang w:val="en-CA"/>
        </w:rPr>
        <w:t xml:space="preserve">Canadian ZEV regulations. If targets defined in the proposed regulation remain lower and no provisions are added to regulate interactions with provincial ZEV mandates, Canada could see little or no additional ZEV sales and little or no additional GHG emission reductions compared to what would happen without a national regulation. </w:t>
      </w:r>
    </w:p>
    <w:p w14:paraId="3948D4A8" w14:textId="77777777" w:rsidR="00E44CDF" w:rsidRPr="00500BCC" w:rsidRDefault="00E44CDF" w:rsidP="008847CF">
      <w:pPr>
        <w:pStyle w:val="NoSpacing"/>
        <w:rPr>
          <w:lang w:val="en-CA"/>
        </w:rPr>
      </w:pPr>
    </w:p>
    <w:p w14:paraId="2AF9E02E" w14:textId="5B41F017" w:rsidR="00974C06" w:rsidRPr="00500BCC" w:rsidRDefault="00E44CDF" w:rsidP="00180AFE">
      <w:pPr>
        <w:pStyle w:val="NoSpacing"/>
        <w:rPr>
          <w:lang w:val="en-CA"/>
        </w:rPr>
      </w:pPr>
      <w:r w:rsidRPr="00500BCC">
        <w:rPr>
          <w:noProof/>
          <w:lang w:val="en-CA"/>
        </w:rPr>
        <w:drawing>
          <wp:inline distT="0" distB="0" distL="0" distR="0" wp14:anchorId="0BA47754" wp14:editId="2F9D0B9F">
            <wp:extent cx="6400800" cy="3841750"/>
            <wp:effectExtent l="0" t="0" r="0" b="6350"/>
            <wp:docPr id="8" name="Chart 8">
              <a:extLst xmlns:a="http://schemas.openxmlformats.org/drawingml/2006/main">
                <a:ext uri="{FF2B5EF4-FFF2-40B4-BE49-F238E27FC236}">
                  <a16:creationId xmlns:a16="http://schemas.microsoft.com/office/drawing/2014/main" id="{2C31348E-4A5C-16A8-AE9D-0C0A39D5F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BF4B22" w14:textId="3BA5F1D3" w:rsidR="00B8583C" w:rsidRPr="00500BCC" w:rsidRDefault="00B8583C" w:rsidP="00397C89">
      <w:pPr>
        <w:pStyle w:val="NoSpacing"/>
        <w:rPr>
          <w:lang w:val="en-CA"/>
        </w:rPr>
      </w:pPr>
    </w:p>
    <w:p w14:paraId="683AF528" w14:textId="28582954" w:rsidR="00E206B2" w:rsidRDefault="002A203E" w:rsidP="00397C89">
      <w:pPr>
        <w:pStyle w:val="NoSpacing"/>
        <w:rPr>
          <w:lang w:val="en-CA"/>
        </w:rPr>
      </w:pPr>
      <w:r w:rsidRPr="6572A1C6">
        <w:rPr>
          <w:lang w:val="en-CA"/>
        </w:rPr>
        <w:t>Recognizing the urgen</w:t>
      </w:r>
      <w:r w:rsidR="00E44CDF" w:rsidRPr="6572A1C6">
        <w:rPr>
          <w:lang w:val="en-CA"/>
        </w:rPr>
        <w:t>cy of reducing</w:t>
      </w:r>
      <w:r w:rsidRPr="6572A1C6">
        <w:rPr>
          <w:lang w:val="en-CA"/>
        </w:rPr>
        <w:t xml:space="preserve"> GHG emissions</w:t>
      </w:r>
      <w:r w:rsidR="00E44CDF" w:rsidRPr="6572A1C6">
        <w:rPr>
          <w:lang w:val="en-CA"/>
        </w:rPr>
        <w:t xml:space="preserve"> in the face of growing climate change impacts</w:t>
      </w:r>
      <w:r w:rsidR="00B43A7D" w:rsidRPr="6572A1C6">
        <w:rPr>
          <w:lang w:val="en-CA"/>
        </w:rPr>
        <w:t xml:space="preserve"> and related costs</w:t>
      </w:r>
      <w:r w:rsidR="002B3DB1" w:rsidRPr="6572A1C6">
        <w:rPr>
          <w:lang w:val="en-CA"/>
        </w:rPr>
        <w:t xml:space="preserve"> </w:t>
      </w:r>
      <w:r w:rsidR="00B43A7D" w:rsidRPr="6572A1C6">
        <w:rPr>
          <w:lang w:val="en-CA"/>
        </w:rPr>
        <w:t xml:space="preserve">across Canada </w:t>
      </w:r>
      <w:r w:rsidR="002B3DB1" w:rsidRPr="6572A1C6">
        <w:rPr>
          <w:lang w:val="en-CA"/>
        </w:rPr>
        <w:t>and</w:t>
      </w:r>
      <w:r w:rsidR="00E44CDF" w:rsidRPr="6572A1C6">
        <w:rPr>
          <w:lang w:val="en-CA"/>
        </w:rPr>
        <w:t xml:space="preserve"> to ensure that benefits of Canada’s ZEV regulation will reach all regions</w:t>
      </w:r>
      <w:r w:rsidR="002B3DB1" w:rsidRPr="6572A1C6">
        <w:rPr>
          <w:lang w:val="en-CA"/>
        </w:rPr>
        <w:t xml:space="preserve"> while</w:t>
      </w:r>
      <w:r w:rsidR="00E44CDF" w:rsidRPr="6572A1C6">
        <w:rPr>
          <w:lang w:val="en-CA"/>
        </w:rPr>
        <w:t xml:space="preserve"> </w:t>
      </w:r>
      <w:r w:rsidR="002B3DB1" w:rsidRPr="6572A1C6">
        <w:rPr>
          <w:lang w:val="en-CA"/>
        </w:rPr>
        <w:t xml:space="preserve">securing </w:t>
      </w:r>
      <w:r w:rsidR="00B43A7D" w:rsidRPr="6572A1C6">
        <w:rPr>
          <w:lang w:val="en-CA"/>
        </w:rPr>
        <w:t xml:space="preserve">the </w:t>
      </w:r>
      <w:r w:rsidR="00E44CDF" w:rsidRPr="6572A1C6">
        <w:rPr>
          <w:lang w:val="en-CA"/>
        </w:rPr>
        <w:t xml:space="preserve">feasibility of </w:t>
      </w:r>
      <w:r w:rsidR="0064617C" w:rsidRPr="6572A1C6">
        <w:rPr>
          <w:lang w:val="en-CA"/>
        </w:rPr>
        <w:t>attaining</w:t>
      </w:r>
      <w:r w:rsidR="00E44CDF" w:rsidRPr="6572A1C6">
        <w:rPr>
          <w:lang w:val="en-CA"/>
        </w:rPr>
        <w:t xml:space="preserve"> 100% ZEV sales by </w:t>
      </w:r>
      <w:r w:rsidR="36469693" w:rsidRPr="6572A1C6">
        <w:rPr>
          <w:lang w:val="en-CA"/>
        </w:rPr>
        <w:t>2035</w:t>
      </w:r>
      <w:r w:rsidR="00E44CDF" w:rsidRPr="6572A1C6">
        <w:rPr>
          <w:lang w:val="en-CA"/>
        </w:rPr>
        <w:t xml:space="preserve">, </w:t>
      </w:r>
      <w:r w:rsidRPr="6572A1C6">
        <w:rPr>
          <w:lang w:val="en-CA"/>
        </w:rPr>
        <w:t xml:space="preserve">EMC recommends </w:t>
      </w:r>
      <w:r w:rsidR="00E44CDF" w:rsidRPr="6572A1C6">
        <w:rPr>
          <w:lang w:val="en-CA"/>
        </w:rPr>
        <w:t xml:space="preserve">aligning </w:t>
      </w:r>
      <w:r w:rsidR="008447D0">
        <w:rPr>
          <w:lang w:val="en-CA"/>
        </w:rPr>
        <w:t xml:space="preserve">the federal targets </w:t>
      </w:r>
      <w:r w:rsidR="00E44CDF" w:rsidRPr="6572A1C6">
        <w:rPr>
          <w:lang w:val="en-CA"/>
        </w:rPr>
        <w:t>with B.C. targets</w:t>
      </w:r>
      <w:r w:rsidR="002B3DB1" w:rsidRPr="6572A1C6">
        <w:rPr>
          <w:lang w:val="en-CA"/>
        </w:rPr>
        <w:t xml:space="preserve"> that aim for 90% ZEV sales in 2030, </w:t>
      </w:r>
      <w:r w:rsidR="00682568">
        <w:rPr>
          <w:lang w:val="en-CA"/>
        </w:rPr>
        <w:t>achieving</w:t>
      </w:r>
      <w:r w:rsidR="008447D0" w:rsidRPr="6572A1C6">
        <w:rPr>
          <w:lang w:val="en-CA"/>
        </w:rPr>
        <w:t xml:space="preserve"> </w:t>
      </w:r>
      <w:r w:rsidR="00B43A7D" w:rsidRPr="6572A1C6">
        <w:rPr>
          <w:lang w:val="en-CA"/>
        </w:rPr>
        <w:t>the</w:t>
      </w:r>
      <w:r w:rsidR="002B3DB1" w:rsidRPr="6572A1C6">
        <w:rPr>
          <w:lang w:val="en-CA"/>
        </w:rPr>
        <w:t xml:space="preserve"> last, </w:t>
      </w:r>
      <w:r w:rsidR="00B43A7D" w:rsidRPr="6572A1C6">
        <w:rPr>
          <w:lang w:val="en-CA"/>
        </w:rPr>
        <w:t>predictably</w:t>
      </w:r>
      <w:r w:rsidR="002B3DB1" w:rsidRPr="6572A1C6">
        <w:rPr>
          <w:lang w:val="en-CA"/>
        </w:rPr>
        <w:t xml:space="preserve"> more difficult, 10% </w:t>
      </w:r>
      <w:r w:rsidR="00293B3F" w:rsidRPr="6572A1C6">
        <w:rPr>
          <w:lang w:val="en-CA"/>
        </w:rPr>
        <w:t>in</w:t>
      </w:r>
      <w:r w:rsidR="002B3DB1" w:rsidRPr="6572A1C6">
        <w:rPr>
          <w:lang w:val="en-CA"/>
        </w:rPr>
        <w:t xml:space="preserve"> the following five year period.</w:t>
      </w:r>
      <w:r w:rsidR="00E44CDF" w:rsidRPr="6572A1C6">
        <w:rPr>
          <w:lang w:val="en-CA"/>
        </w:rPr>
        <w:t xml:space="preserve"> </w:t>
      </w:r>
    </w:p>
    <w:p w14:paraId="6EFDB01F" w14:textId="77777777" w:rsidR="00231E64" w:rsidRPr="00500BCC" w:rsidRDefault="00231E64" w:rsidP="00397C89">
      <w:pPr>
        <w:pStyle w:val="NoSpacing"/>
        <w:rPr>
          <w:lang w:val="en-CA"/>
        </w:rPr>
      </w:pPr>
    </w:p>
    <w:p w14:paraId="7269597D" w14:textId="4466FEFA" w:rsidR="00C50A1A" w:rsidRPr="00500BCC" w:rsidRDefault="008416DF" w:rsidP="00397C89">
      <w:pPr>
        <w:pStyle w:val="NoSpacing"/>
        <w:rPr>
          <w:b/>
          <w:bCs/>
          <w:lang w:val="en-CA"/>
        </w:rPr>
      </w:pPr>
      <w:r w:rsidRPr="00500BCC">
        <w:rPr>
          <w:b/>
          <w:bCs/>
          <w:lang w:val="en-CA"/>
        </w:rPr>
        <w:lastRenderedPageBreak/>
        <w:t xml:space="preserve">TABLE </w:t>
      </w:r>
      <w:r w:rsidR="009C188C" w:rsidRPr="00500BCC">
        <w:rPr>
          <w:b/>
          <w:bCs/>
          <w:lang w:val="en-CA"/>
        </w:rPr>
        <w:t xml:space="preserve">1: </w:t>
      </w:r>
      <w:r w:rsidR="00FC55A9" w:rsidRPr="00500BCC">
        <w:rPr>
          <w:b/>
          <w:bCs/>
          <w:lang w:val="en-CA"/>
        </w:rPr>
        <w:t xml:space="preserve">Comparing </w:t>
      </w:r>
      <w:r w:rsidR="00B958A6" w:rsidRPr="00500BCC">
        <w:rPr>
          <w:b/>
          <w:bCs/>
          <w:lang w:val="en-CA"/>
        </w:rPr>
        <w:t>ZEV sales target</w:t>
      </w:r>
      <w:r w:rsidR="00432445" w:rsidRPr="00500BCC">
        <w:rPr>
          <w:b/>
          <w:bCs/>
          <w:lang w:val="en-CA"/>
        </w:rPr>
        <w:t>s</w:t>
      </w:r>
      <w:r w:rsidR="00FC55A9" w:rsidRPr="00500BCC">
        <w:rPr>
          <w:b/>
          <w:bCs/>
          <w:lang w:val="en-CA"/>
        </w:rPr>
        <w:t xml:space="preserve"> </w:t>
      </w:r>
      <w:r w:rsidR="002A33D6" w:rsidRPr="00500BCC">
        <w:rPr>
          <w:b/>
          <w:bCs/>
          <w:lang w:val="en-CA"/>
        </w:rPr>
        <w:t xml:space="preserve">(%) </w:t>
      </w:r>
      <w:r w:rsidR="00FC55A9" w:rsidRPr="00500BCC">
        <w:rPr>
          <w:b/>
          <w:bCs/>
          <w:lang w:val="en-CA"/>
        </w:rPr>
        <w:t>in North American jurisdictions</w:t>
      </w:r>
      <w:r w:rsidR="002F4829" w:rsidRPr="00500BCC">
        <w:rPr>
          <w:b/>
          <w:bCs/>
          <w:lang w:val="en-CA"/>
        </w:rPr>
        <w:t xml:space="preserve"> and EMC’s recommended targets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9"/>
        <w:gridCol w:w="1817"/>
        <w:gridCol w:w="1525"/>
        <w:gridCol w:w="1813"/>
        <w:gridCol w:w="1869"/>
        <w:gridCol w:w="2177"/>
      </w:tblGrid>
      <w:tr w:rsidR="00AA660E" w:rsidRPr="00500BCC" w14:paraId="3786842E" w14:textId="77777777" w:rsidTr="002A4ED0">
        <w:trPr>
          <w:trHeight w:val="300"/>
        </w:trPr>
        <w:tc>
          <w:tcPr>
            <w:tcW w:w="431" w:type="pct"/>
            <w:shd w:val="clear" w:color="auto" w:fill="C5E0B3" w:themeFill="accent6" w:themeFillTint="66"/>
          </w:tcPr>
          <w:p w14:paraId="5B6C7DC5" w14:textId="02D944BB" w:rsidR="00AA660E" w:rsidRPr="00500BCC" w:rsidRDefault="00AA660E" w:rsidP="00397C89">
            <w:pPr>
              <w:pStyle w:val="NoSpacing"/>
              <w:rPr>
                <w:b/>
                <w:bCs/>
                <w:lang w:val="en-CA"/>
              </w:rPr>
            </w:pPr>
            <w:r w:rsidRPr="00500BCC">
              <w:rPr>
                <w:b/>
                <w:bCs/>
                <w:lang w:val="en-CA"/>
              </w:rPr>
              <w:t>Year</w:t>
            </w:r>
          </w:p>
        </w:tc>
        <w:tc>
          <w:tcPr>
            <w:tcW w:w="902" w:type="pct"/>
            <w:shd w:val="clear" w:color="auto" w:fill="C5E0B3" w:themeFill="accent6" w:themeFillTint="66"/>
          </w:tcPr>
          <w:p w14:paraId="6C21DDAF" w14:textId="2B335DCE" w:rsidR="00AA660E" w:rsidRPr="00500BCC" w:rsidRDefault="00AA660E" w:rsidP="00F704FD">
            <w:pPr>
              <w:pStyle w:val="NoSpacing"/>
              <w:jc w:val="center"/>
              <w:rPr>
                <w:b/>
                <w:bCs/>
                <w:lang w:val="en-CA"/>
              </w:rPr>
            </w:pPr>
            <w:r w:rsidRPr="00500BCC">
              <w:rPr>
                <w:b/>
                <w:bCs/>
                <w:lang w:val="en-CA"/>
              </w:rPr>
              <w:t>Canada</w:t>
            </w:r>
          </w:p>
        </w:tc>
        <w:tc>
          <w:tcPr>
            <w:tcW w:w="757" w:type="pct"/>
            <w:shd w:val="clear" w:color="auto" w:fill="C5E0B3" w:themeFill="accent6" w:themeFillTint="66"/>
          </w:tcPr>
          <w:p w14:paraId="4F9DF024" w14:textId="68D18E70" w:rsidR="00AA660E" w:rsidRPr="00500BCC" w:rsidRDefault="00AA660E" w:rsidP="00F704FD">
            <w:pPr>
              <w:pStyle w:val="NoSpacing"/>
              <w:jc w:val="center"/>
              <w:rPr>
                <w:b/>
                <w:bCs/>
                <w:lang w:val="en-CA"/>
              </w:rPr>
            </w:pPr>
            <w:r w:rsidRPr="00500BCC">
              <w:rPr>
                <w:b/>
                <w:bCs/>
                <w:lang w:val="en-CA"/>
              </w:rPr>
              <w:t>EMC</w:t>
            </w:r>
          </w:p>
        </w:tc>
        <w:tc>
          <w:tcPr>
            <w:tcW w:w="900" w:type="pct"/>
            <w:shd w:val="clear" w:color="auto" w:fill="C5E0B3" w:themeFill="accent6" w:themeFillTint="66"/>
          </w:tcPr>
          <w:p w14:paraId="6A426AB9" w14:textId="07EAA3E3" w:rsidR="00AA660E" w:rsidRPr="00500BCC" w:rsidRDefault="00AA660E" w:rsidP="00F704FD">
            <w:pPr>
              <w:pStyle w:val="NoSpacing"/>
              <w:jc w:val="center"/>
              <w:rPr>
                <w:b/>
                <w:bCs/>
                <w:lang w:val="en-CA"/>
              </w:rPr>
            </w:pPr>
            <w:r w:rsidRPr="00500BCC">
              <w:rPr>
                <w:b/>
                <w:bCs/>
                <w:lang w:val="en-CA"/>
              </w:rPr>
              <w:t>BC</w:t>
            </w:r>
          </w:p>
        </w:tc>
        <w:tc>
          <w:tcPr>
            <w:tcW w:w="928" w:type="pct"/>
            <w:shd w:val="clear" w:color="auto" w:fill="C5E0B3" w:themeFill="accent6" w:themeFillTint="66"/>
          </w:tcPr>
          <w:p w14:paraId="110527A2" w14:textId="1CBE0884" w:rsidR="00AA660E" w:rsidRPr="00500BCC" w:rsidRDefault="00AA660E" w:rsidP="00F704FD">
            <w:pPr>
              <w:pStyle w:val="NoSpacing"/>
              <w:jc w:val="center"/>
              <w:rPr>
                <w:b/>
                <w:bCs/>
                <w:lang w:val="en-CA"/>
              </w:rPr>
            </w:pPr>
            <w:r w:rsidRPr="00500BCC">
              <w:rPr>
                <w:b/>
                <w:bCs/>
                <w:lang w:val="en-CA"/>
              </w:rPr>
              <w:t>QC</w:t>
            </w:r>
          </w:p>
        </w:tc>
        <w:tc>
          <w:tcPr>
            <w:tcW w:w="1081" w:type="pct"/>
            <w:shd w:val="clear" w:color="auto" w:fill="C5E0B3" w:themeFill="accent6" w:themeFillTint="66"/>
          </w:tcPr>
          <w:p w14:paraId="0DCE1EF6" w14:textId="783F9A06" w:rsidR="00AA660E" w:rsidRPr="00500BCC" w:rsidRDefault="00AA660E" w:rsidP="00173B88">
            <w:pPr>
              <w:pStyle w:val="NoSpacing"/>
              <w:jc w:val="center"/>
              <w:rPr>
                <w:b/>
                <w:bCs/>
                <w:lang w:val="en-CA"/>
              </w:rPr>
            </w:pPr>
            <w:r w:rsidRPr="00500BCC">
              <w:rPr>
                <w:b/>
                <w:bCs/>
                <w:lang w:val="en-CA"/>
              </w:rPr>
              <w:t>California</w:t>
            </w:r>
          </w:p>
        </w:tc>
      </w:tr>
      <w:tr w:rsidR="00E206B2" w:rsidRPr="00500BCC" w14:paraId="5304E31B" w14:textId="77777777" w:rsidTr="002A4ED0">
        <w:trPr>
          <w:trHeight w:val="300"/>
        </w:trPr>
        <w:tc>
          <w:tcPr>
            <w:tcW w:w="431" w:type="pct"/>
          </w:tcPr>
          <w:p w14:paraId="738A54A3" w14:textId="77777777" w:rsidR="00E206B2" w:rsidRPr="00500BCC" w:rsidRDefault="00E206B2" w:rsidP="005B7E07">
            <w:pPr>
              <w:pStyle w:val="NoSpacing"/>
              <w:rPr>
                <w:lang w:val="en-CA"/>
              </w:rPr>
            </w:pPr>
          </w:p>
        </w:tc>
        <w:tc>
          <w:tcPr>
            <w:tcW w:w="902" w:type="pct"/>
          </w:tcPr>
          <w:p w14:paraId="1CDDF564" w14:textId="77777777" w:rsidR="00E206B2" w:rsidRPr="00500BCC" w:rsidRDefault="00E206B2" w:rsidP="005B7E07">
            <w:pPr>
              <w:pStyle w:val="NoSpacing"/>
              <w:jc w:val="center"/>
              <w:rPr>
                <w:lang w:val="en-CA"/>
              </w:rPr>
            </w:pPr>
            <w:r w:rsidRPr="00500BCC">
              <w:rPr>
                <w:sz w:val="18"/>
                <w:szCs w:val="18"/>
                <w:lang w:val="en-CA"/>
              </w:rPr>
              <w:t>(proposed)</w:t>
            </w:r>
          </w:p>
        </w:tc>
        <w:tc>
          <w:tcPr>
            <w:tcW w:w="757" w:type="pct"/>
            <w:shd w:val="clear" w:color="auto" w:fill="E2EFD9" w:themeFill="accent6" w:themeFillTint="33"/>
          </w:tcPr>
          <w:p w14:paraId="0A1BC0B1" w14:textId="77777777" w:rsidR="00E206B2" w:rsidRPr="00500BCC" w:rsidRDefault="00E206B2" w:rsidP="005B7E07">
            <w:pPr>
              <w:pStyle w:val="NoSpacing"/>
              <w:jc w:val="center"/>
              <w:rPr>
                <w:sz w:val="18"/>
                <w:szCs w:val="18"/>
                <w:lang w:val="en-CA"/>
              </w:rPr>
            </w:pPr>
            <w:r w:rsidRPr="00500BCC">
              <w:rPr>
                <w:sz w:val="18"/>
                <w:szCs w:val="18"/>
                <w:lang w:val="en-CA"/>
              </w:rPr>
              <w:t>Recommended SALES targets*</w:t>
            </w:r>
          </w:p>
        </w:tc>
        <w:tc>
          <w:tcPr>
            <w:tcW w:w="900" w:type="pct"/>
          </w:tcPr>
          <w:p w14:paraId="65BC0517" w14:textId="4104F271" w:rsidR="00E206B2" w:rsidRPr="00500BCC" w:rsidRDefault="00E206B2" w:rsidP="005B7E07">
            <w:pPr>
              <w:pStyle w:val="NoSpacing"/>
              <w:jc w:val="center"/>
              <w:rPr>
                <w:lang w:val="en-CA"/>
              </w:rPr>
            </w:pPr>
            <w:r w:rsidRPr="6572A1C6">
              <w:rPr>
                <w:sz w:val="18"/>
                <w:szCs w:val="18"/>
                <w:lang w:val="en-CA"/>
              </w:rPr>
              <w:t>(</w:t>
            </w:r>
            <w:r w:rsidR="13E845A7" w:rsidRPr="6572A1C6">
              <w:rPr>
                <w:sz w:val="18"/>
                <w:szCs w:val="18"/>
                <w:lang w:val="en-CA"/>
              </w:rPr>
              <w:t>July 2022 Intentions Paper</w:t>
            </w:r>
            <w:r w:rsidR="000773DC">
              <w:rPr>
                <w:rStyle w:val="FootnoteReference"/>
                <w:sz w:val="18"/>
                <w:szCs w:val="18"/>
                <w:lang w:val="en-CA"/>
              </w:rPr>
              <w:footnoteReference w:id="6"/>
            </w:r>
            <w:r w:rsidRPr="6572A1C6">
              <w:rPr>
                <w:sz w:val="18"/>
                <w:szCs w:val="18"/>
                <w:lang w:val="en-CA"/>
              </w:rPr>
              <w:t>)</w:t>
            </w:r>
          </w:p>
        </w:tc>
        <w:tc>
          <w:tcPr>
            <w:tcW w:w="928" w:type="pct"/>
          </w:tcPr>
          <w:p w14:paraId="791C256F" w14:textId="1CEDAFBA" w:rsidR="00E206B2" w:rsidRPr="00500BCC" w:rsidRDefault="00E206B2" w:rsidP="005B7E07">
            <w:pPr>
              <w:pStyle w:val="NoSpacing"/>
              <w:jc w:val="center"/>
              <w:rPr>
                <w:lang w:val="en-CA"/>
              </w:rPr>
            </w:pPr>
            <w:r w:rsidRPr="6572A1C6">
              <w:rPr>
                <w:sz w:val="18"/>
                <w:szCs w:val="18"/>
                <w:lang w:val="en-CA"/>
              </w:rPr>
              <w:t>(Draft amendment</w:t>
            </w:r>
            <w:r w:rsidR="0FBAE31C" w:rsidRPr="6572A1C6">
              <w:rPr>
                <w:sz w:val="18"/>
                <w:szCs w:val="18"/>
                <w:lang w:val="en-CA"/>
              </w:rPr>
              <w:t>, June 2022</w:t>
            </w:r>
            <w:r w:rsidR="00351B25">
              <w:rPr>
                <w:rStyle w:val="FootnoteReference"/>
                <w:sz w:val="18"/>
                <w:szCs w:val="18"/>
                <w:lang w:val="en-CA"/>
              </w:rPr>
              <w:footnoteReference w:id="7"/>
            </w:r>
            <w:r w:rsidRPr="6572A1C6">
              <w:rPr>
                <w:sz w:val="18"/>
                <w:szCs w:val="18"/>
                <w:lang w:val="en-CA"/>
              </w:rPr>
              <w:t>)</w:t>
            </w:r>
          </w:p>
        </w:tc>
        <w:tc>
          <w:tcPr>
            <w:tcW w:w="1081" w:type="pct"/>
          </w:tcPr>
          <w:p w14:paraId="47D50A9C" w14:textId="77777777" w:rsidR="00E206B2" w:rsidRPr="00500BCC" w:rsidRDefault="00E206B2" w:rsidP="005B7E07">
            <w:pPr>
              <w:pStyle w:val="NoSpacing"/>
              <w:jc w:val="center"/>
              <w:rPr>
                <w:lang w:val="en-CA"/>
              </w:rPr>
            </w:pPr>
            <w:r w:rsidRPr="00500BCC">
              <w:rPr>
                <w:sz w:val="18"/>
                <w:szCs w:val="18"/>
                <w:lang w:val="en-CA"/>
              </w:rPr>
              <w:t>(Adopted)</w:t>
            </w:r>
          </w:p>
        </w:tc>
      </w:tr>
      <w:tr w:rsidR="00AA660E" w:rsidRPr="008E7E6B" w14:paraId="678230D8" w14:textId="77777777" w:rsidTr="002A4ED0">
        <w:trPr>
          <w:trHeight w:val="300"/>
        </w:trPr>
        <w:tc>
          <w:tcPr>
            <w:tcW w:w="431" w:type="pct"/>
          </w:tcPr>
          <w:p w14:paraId="3DFCA5F4" w14:textId="3E700517" w:rsidR="00AA660E" w:rsidRPr="008E7E6B" w:rsidRDefault="00AA660E" w:rsidP="00397C89">
            <w:pPr>
              <w:pStyle w:val="NoSpacing"/>
              <w:rPr>
                <w:sz w:val="20"/>
                <w:szCs w:val="20"/>
                <w:lang w:val="en-CA"/>
              </w:rPr>
            </w:pPr>
            <w:r w:rsidRPr="008E7E6B">
              <w:rPr>
                <w:sz w:val="20"/>
                <w:szCs w:val="20"/>
                <w:lang w:val="en-CA"/>
              </w:rPr>
              <w:t>2025</w:t>
            </w:r>
          </w:p>
        </w:tc>
        <w:tc>
          <w:tcPr>
            <w:tcW w:w="902" w:type="pct"/>
          </w:tcPr>
          <w:p w14:paraId="207745E7" w14:textId="59363595" w:rsidR="00AA660E" w:rsidRPr="008E7E6B" w:rsidRDefault="00AA660E" w:rsidP="00F704FD">
            <w:pPr>
              <w:pStyle w:val="NoSpacing"/>
              <w:jc w:val="center"/>
              <w:rPr>
                <w:sz w:val="20"/>
                <w:szCs w:val="20"/>
                <w:lang w:val="en-CA"/>
              </w:rPr>
            </w:pPr>
          </w:p>
        </w:tc>
        <w:tc>
          <w:tcPr>
            <w:tcW w:w="757" w:type="pct"/>
            <w:shd w:val="clear" w:color="auto" w:fill="auto"/>
          </w:tcPr>
          <w:p w14:paraId="42F521E0" w14:textId="77777777" w:rsidR="00AA660E" w:rsidRPr="008E7E6B" w:rsidRDefault="00AA660E" w:rsidP="00F704FD">
            <w:pPr>
              <w:pStyle w:val="NoSpacing"/>
              <w:jc w:val="center"/>
              <w:rPr>
                <w:sz w:val="20"/>
                <w:szCs w:val="20"/>
                <w:lang w:val="en-CA"/>
              </w:rPr>
            </w:pPr>
          </w:p>
        </w:tc>
        <w:tc>
          <w:tcPr>
            <w:tcW w:w="900" w:type="pct"/>
          </w:tcPr>
          <w:p w14:paraId="1AC1749B" w14:textId="01AC1D85" w:rsidR="00AA660E" w:rsidRPr="008E7E6B" w:rsidRDefault="00AA660E" w:rsidP="00F704FD">
            <w:pPr>
              <w:pStyle w:val="NoSpacing"/>
              <w:jc w:val="center"/>
              <w:rPr>
                <w:sz w:val="20"/>
                <w:szCs w:val="20"/>
                <w:lang w:val="en-CA"/>
              </w:rPr>
            </w:pPr>
            <w:r w:rsidRPr="008E7E6B">
              <w:rPr>
                <w:sz w:val="20"/>
                <w:szCs w:val="20"/>
                <w:lang w:val="en-CA"/>
              </w:rPr>
              <w:t>10</w:t>
            </w:r>
          </w:p>
        </w:tc>
        <w:tc>
          <w:tcPr>
            <w:tcW w:w="928" w:type="pct"/>
          </w:tcPr>
          <w:p w14:paraId="0AA30EF1" w14:textId="4C0E1781" w:rsidR="00AA660E" w:rsidRPr="008E7E6B" w:rsidRDefault="00AA660E" w:rsidP="00F704FD">
            <w:pPr>
              <w:pStyle w:val="NoSpacing"/>
              <w:jc w:val="center"/>
              <w:rPr>
                <w:sz w:val="20"/>
                <w:szCs w:val="20"/>
                <w:lang w:val="en-CA"/>
              </w:rPr>
            </w:pPr>
            <w:r w:rsidRPr="008E7E6B">
              <w:rPr>
                <w:sz w:val="20"/>
                <w:szCs w:val="20"/>
                <w:lang w:val="en-CA"/>
              </w:rPr>
              <w:t>22</w:t>
            </w:r>
          </w:p>
        </w:tc>
        <w:tc>
          <w:tcPr>
            <w:tcW w:w="1081" w:type="pct"/>
          </w:tcPr>
          <w:p w14:paraId="2C80E29B" w14:textId="042A8AE5" w:rsidR="00AA660E" w:rsidRPr="008E7E6B" w:rsidRDefault="00AA660E" w:rsidP="00F704FD">
            <w:pPr>
              <w:pStyle w:val="NoSpacing"/>
              <w:jc w:val="center"/>
              <w:rPr>
                <w:sz w:val="20"/>
                <w:szCs w:val="20"/>
                <w:lang w:val="en-CA"/>
              </w:rPr>
            </w:pPr>
            <w:r w:rsidRPr="008E7E6B">
              <w:rPr>
                <w:sz w:val="20"/>
                <w:szCs w:val="20"/>
                <w:lang w:val="en-CA"/>
              </w:rPr>
              <w:t>22</w:t>
            </w:r>
          </w:p>
        </w:tc>
      </w:tr>
      <w:tr w:rsidR="00AA660E" w:rsidRPr="008E7E6B" w14:paraId="4B29BED5" w14:textId="77777777" w:rsidTr="002A4ED0">
        <w:trPr>
          <w:trHeight w:val="300"/>
        </w:trPr>
        <w:tc>
          <w:tcPr>
            <w:tcW w:w="431" w:type="pct"/>
          </w:tcPr>
          <w:p w14:paraId="3E89B71F" w14:textId="29A0F1FC" w:rsidR="00AA660E" w:rsidRPr="008E7E6B" w:rsidRDefault="00AA660E" w:rsidP="00397C89">
            <w:pPr>
              <w:pStyle w:val="NoSpacing"/>
              <w:rPr>
                <w:sz w:val="20"/>
                <w:szCs w:val="20"/>
                <w:lang w:val="en-CA"/>
              </w:rPr>
            </w:pPr>
            <w:r w:rsidRPr="008E7E6B">
              <w:rPr>
                <w:sz w:val="20"/>
                <w:szCs w:val="20"/>
                <w:lang w:val="en-CA"/>
              </w:rPr>
              <w:t>2026</w:t>
            </w:r>
          </w:p>
        </w:tc>
        <w:tc>
          <w:tcPr>
            <w:tcW w:w="902" w:type="pct"/>
            <w:shd w:val="clear" w:color="auto" w:fill="auto"/>
          </w:tcPr>
          <w:p w14:paraId="4442F501" w14:textId="6EB5B01C" w:rsidR="00AA660E" w:rsidRPr="008E7E6B" w:rsidRDefault="00AA660E" w:rsidP="00F704FD">
            <w:pPr>
              <w:pStyle w:val="NoSpacing"/>
              <w:jc w:val="center"/>
              <w:rPr>
                <w:sz w:val="20"/>
                <w:szCs w:val="20"/>
                <w:lang w:val="en-CA"/>
              </w:rPr>
            </w:pPr>
            <w:r w:rsidRPr="008E7E6B">
              <w:rPr>
                <w:sz w:val="20"/>
                <w:szCs w:val="20"/>
                <w:lang w:val="en-CA"/>
              </w:rPr>
              <w:t>20</w:t>
            </w:r>
          </w:p>
        </w:tc>
        <w:tc>
          <w:tcPr>
            <w:tcW w:w="757" w:type="pct"/>
            <w:shd w:val="clear" w:color="auto" w:fill="E2EFD9" w:themeFill="accent6" w:themeFillTint="33"/>
          </w:tcPr>
          <w:p w14:paraId="25E8E3C6" w14:textId="02D7C444" w:rsidR="00AA660E" w:rsidRPr="008E7E6B" w:rsidRDefault="00AA660E" w:rsidP="00F704FD">
            <w:pPr>
              <w:pStyle w:val="NoSpacing"/>
              <w:jc w:val="center"/>
              <w:rPr>
                <w:sz w:val="20"/>
                <w:szCs w:val="20"/>
                <w:lang w:val="en-CA"/>
              </w:rPr>
            </w:pPr>
            <w:r w:rsidRPr="008E7E6B">
              <w:rPr>
                <w:sz w:val="20"/>
                <w:szCs w:val="20"/>
                <w:lang w:val="en-CA"/>
              </w:rPr>
              <w:t>26</w:t>
            </w:r>
          </w:p>
        </w:tc>
        <w:tc>
          <w:tcPr>
            <w:tcW w:w="900" w:type="pct"/>
          </w:tcPr>
          <w:p w14:paraId="57BE11E9" w14:textId="3CFCF4A3" w:rsidR="00AA660E" w:rsidRPr="008E7E6B" w:rsidRDefault="00AA660E">
            <w:pPr>
              <w:pStyle w:val="NoSpacing"/>
              <w:jc w:val="center"/>
              <w:rPr>
                <w:rFonts w:ascii="Calibri" w:eastAsia="Calibri" w:hAnsi="Calibri" w:cs="Calibri"/>
                <w:sz w:val="20"/>
                <w:szCs w:val="20"/>
                <w:lang w:val="en-CA"/>
              </w:rPr>
            </w:pPr>
            <w:r w:rsidRPr="008E7E6B">
              <w:rPr>
                <w:sz w:val="20"/>
                <w:szCs w:val="20"/>
                <w:lang w:val="en-CA"/>
              </w:rPr>
              <w:t>26.3</w:t>
            </w:r>
          </w:p>
        </w:tc>
        <w:tc>
          <w:tcPr>
            <w:tcW w:w="928" w:type="pct"/>
          </w:tcPr>
          <w:p w14:paraId="31C1FCB9" w14:textId="592A7D70" w:rsidR="00AA660E" w:rsidRPr="008E7E6B" w:rsidRDefault="00AA660E" w:rsidP="00F704FD">
            <w:pPr>
              <w:pStyle w:val="NoSpacing"/>
              <w:jc w:val="center"/>
              <w:rPr>
                <w:sz w:val="20"/>
                <w:szCs w:val="20"/>
                <w:lang w:val="en-CA"/>
              </w:rPr>
            </w:pPr>
            <w:r w:rsidRPr="008E7E6B">
              <w:rPr>
                <w:sz w:val="20"/>
                <w:szCs w:val="20"/>
                <w:lang w:val="en-CA"/>
              </w:rPr>
              <w:t>26</w:t>
            </w:r>
          </w:p>
        </w:tc>
        <w:tc>
          <w:tcPr>
            <w:tcW w:w="1081" w:type="pct"/>
          </w:tcPr>
          <w:p w14:paraId="7A092051" w14:textId="4E1B1531" w:rsidR="00AA660E" w:rsidRPr="008E7E6B" w:rsidRDefault="00AA660E" w:rsidP="00F704FD">
            <w:pPr>
              <w:pStyle w:val="NoSpacing"/>
              <w:jc w:val="center"/>
              <w:rPr>
                <w:sz w:val="20"/>
                <w:szCs w:val="20"/>
                <w:lang w:val="en-CA"/>
              </w:rPr>
            </w:pPr>
            <w:r w:rsidRPr="008E7E6B">
              <w:rPr>
                <w:sz w:val="20"/>
                <w:szCs w:val="20"/>
                <w:lang w:val="en-CA"/>
              </w:rPr>
              <w:t>35</w:t>
            </w:r>
          </w:p>
        </w:tc>
      </w:tr>
      <w:tr w:rsidR="00AA660E" w:rsidRPr="008E7E6B" w14:paraId="7F998AAE" w14:textId="77777777" w:rsidTr="002A4ED0">
        <w:trPr>
          <w:trHeight w:val="300"/>
        </w:trPr>
        <w:tc>
          <w:tcPr>
            <w:tcW w:w="431" w:type="pct"/>
          </w:tcPr>
          <w:p w14:paraId="61428DAA" w14:textId="569FFD23" w:rsidR="00AA660E" w:rsidRPr="008E7E6B" w:rsidRDefault="00AA660E" w:rsidP="00397C89">
            <w:pPr>
              <w:pStyle w:val="NoSpacing"/>
              <w:rPr>
                <w:sz w:val="20"/>
                <w:szCs w:val="20"/>
                <w:lang w:val="en-CA"/>
              </w:rPr>
            </w:pPr>
            <w:r w:rsidRPr="008E7E6B">
              <w:rPr>
                <w:sz w:val="20"/>
                <w:szCs w:val="20"/>
                <w:lang w:val="en-CA"/>
              </w:rPr>
              <w:t>2027</w:t>
            </w:r>
          </w:p>
        </w:tc>
        <w:tc>
          <w:tcPr>
            <w:tcW w:w="902" w:type="pct"/>
            <w:shd w:val="clear" w:color="auto" w:fill="auto"/>
          </w:tcPr>
          <w:p w14:paraId="51419690" w14:textId="59138006" w:rsidR="00AA660E" w:rsidRPr="008E7E6B" w:rsidRDefault="00AA660E" w:rsidP="00F704FD">
            <w:pPr>
              <w:pStyle w:val="NoSpacing"/>
              <w:jc w:val="center"/>
              <w:rPr>
                <w:sz w:val="20"/>
                <w:szCs w:val="20"/>
                <w:lang w:val="en-CA"/>
              </w:rPr>
            </w:pPr>
            <w:r w:rsidRPr="008E7E6B">
              <w:rPr>
                <w:sz w:val="20"/>
                <w:szCs w:val="20"/>
                <w:lang w:val="en-CA"/>
              </w:rPr>
              <w:t>23</w:t>
            </w:r>
          </w:p>
        </w:tc>
        <w:tc>
          <w:tcPr>
            <w:tcW w:w="757" w:type="pct"/>
            <w:shd w:val="clear" w:color="auto" w:fill="E2EFD9" w:themeFill="accent6" w:themeFillTint="33"/>
          </w:tcPr>
          <w:p w14:paraId="3798A5C5" w14:textId="6BFB4FB5" w:rsidR="00AA660E" w:rsidRPr="008E7E6B" w:rsidRDefault="00AA660E" w:rsidP="00F704FD">
            <w:pPr>
              <w:pStyle w:val="NoSpacing"/>
              <w:jc w:val="center"/>
              <w:rPr>
                <w:sz w:val="20"/>
                <w:szCs w:val="20"/>
                <w:lang w:val="en-CA"/>
              </w:rPr>
            </w:pPr>
            <w:r w:rsidRPr="008E7E6B">
              <w:rPr>
                <w:sz w:val="20"/>
                <w:szCs w:val="20"/>
                <w:lang w:val="en-CA"/>
              </w:rPr>
              <w:t>43</w:t>
            </w:r>
          </w:p>
        </w:tc>
        <w:tc>
          <w:tcPr>
            <w:tcW w:w="900" w:type="pct"/>
          </w:tcPr>
          <w:p w14:paraId="5C39EA0D" w14:textId="0137FD2F" w:rsidR="00AA660E" w:rsidRPr="008E7E6B" w:rsidRDefault="00AA660E" w:rsidP="00F704FD">
            <w:pPr>
              <w:pStyle w:val="NoSpacing"/>
              <w:jc w:val="center"/>
              <w:rPr>
                <w:sz w:val="20"/>
                <w:szCs w:val="20"/>
                <w:lang w:val="en-CA"/>
              </w:rPr>
            </w:pPr>
            <w:r w:rsidRPr="008E7E6B">
              <w:rPr>
                <w:sz w:val="20"/>
                <w:szCs w:val="20"/>
                <w:lang w:val="en-CA"/>
              </w:rPr>
              <w:t>42.6</w:t>
            </w:r>
          </w:p>
        </w:tc>
        <w:tc>
          <w:tcPr>
            <w:tcW w:w="928" w:type="pct"/>
          </w:tcPr>
          <w:p w14:paraId="34D4E976" w14:textId="6EC7A0C3" w:rsidR="00AA660E" w:rsidRPr="008E7E6B" w:rsidRDefault="00AA660E" w:rsidP="00F704FD">
            <w:pPr>
              <w:pStyle w:val="NoSpacing"/>
              <w:jc w:val="center"/>
              <w:rPr>
                <w:sz w:val="20"/>
                <w:szCs w:val="20"/>
                <w:lang w:val="en-CA"/>
              </w:rPr>
            </w:pPr>
            <w:r w:rsidRPr="008E7E6B">
              <w:rPr>
                <w:sz w:val="20"/>
                <w:szCs w:val="20"/>
                <w:lang w:val="en-CA"/>
              </w:rPr>
              <w:t>34</w:t>
            </w:r>
          </w:p>
        </w:tc>
        <w:tc>
          <w:tcPr>
            <w:tcW w:w="1081" w:type="pct"/>
          </w:tcPr>
          <w:p w14:paraId="670D2D8E" w14:textId="3C408BC9" w:rsidR="00AA660E" w:rsidRPr="008E7E6B" w:rsidRDefault="00AA660E" w:rsidP="00F704FD">
            <w:pPr>
              <w:pStyle w:val="NoSpacing"/>
              <w:jc w:val="center"/>
              <w:rPr>
                <w:sz w:val="20"/>
                <w:szCs w:val="20"/>
                <w:lang w:val="en-CA"/>
              </w:rPr>
            </w:pPr>
            <w:r w:rsidRPr="008E7E6B">
              <w:rPr>
                <w:sz w:val="20"/>
                <w:szCs w:val="20"/>
                <w:lang w:val="en-CA"/>
              </w:rPr>
              <w:t>43</w:t>
            </w:r>
          </w:p>
        </w:tc>
      </w:tr>
      <w:tr w:rsidR="00AA660E" w:rsidRPr="008E7E6B" w14:paraId="01964AFE" w14:textId="77777777" w:rsidTr="002A4ED0">
        <w:trPr>
          <w:trHeight w:val="300"/>
        </w:trPr>
        <w:tc>
          <w:tcPr>
            <w:tcW w:w="431" w:type="pct"/>
          </w:tcPr>
          <w:p w14:paraId="11040A0B" w14:textId="2F50C533" w:rsidR="00AA660E" w:rsidRPr="008E7E6B" w:rsidRDefault="00AA660E" w:rsidP="00397C89">
            <w:pPr>
              <w:pStyle w:val="NoSpacing"/>
              <w:rPr>
                <w:sz w:val="20"/>
                <w:szCs w:val="20"/>
                <w:lang w:val="en-CA"/>
              </w:rPr>
            </w:pPr>
            <w:r w:rsidRPr="008E7E6B">
              <w:rPr>
                <w:sz w:val="20"/>
                <w:szCs w:val="20"/>
                <w:lang w:val="en-CA"/>
              </w:rPr>
              <w:t>2028</w:t>
            </w:r>
          </w:p>
        </w:tc>
        <w:tc>
          <w:tcPr>
            <w:tcW w:w="902" w:type="pct"/>
            <w:shd w:val="clear" w:color="auto" w:fill="auto"/>
          </w:tcPr>
          <w:p w14:paraId="6301F207" w14:textId="5089A3E9" w:rsidR="00AA660E" w:rsidRPr="008E7E6B" w:rsidRDefault="00AA660E" w:rsidP="00F704FD">
            <w:pPr>
              <w:pStyle w:val="NoSpacing"/>
              <w:jc w:val="center"/>
              <w:rPr>
                <w:sz w:val="20"/>
                <w:szCs w:val="20"/>
                <w:lang w:val="en-CA"/>
              </w:rPr>
            </w:pPr>
            <w:r w:rsidRPr="008E7E6B">
              <w:rPr>
                <w:sz w:val="20"/>
                <w:szCs w:val="20"/>
                <w:lang w:val="en-CA"/>
              </w:rPr>
              <w:t>34</w:t>
            </w:r>
          </w:p>
        </w:tc>
        <w:tc>
          <w:tcPr>
            <w:tcW w:w="757" w:type="pct"/>
            <w:shd w:val="clear" w:color="auto" w:fill="E2EFD9" w:themeFill="accent6" w:themeFillTint="33"/>
          </w:tcPr>
          <w:p w14:paraId="7D18569C" w14:textId="254DA0FB" w:rsidR="00AA660E" w:rsidRPr="008E7E6B" w:rsidRDefault="00AA660E" w:rsidP="00F704FD">
            <w:pPr>
              <w:pStyle w:val="NoSpacing"/>
              <w:jc w:val="center"/>
              <w:rPr>
                <w:sz w:val="20"/>
                <w:szCs w:val="20"/>
                <w:lang w:val="en-CA"/>
              </w:rPr>
            </w:pPr>
            <w:r w:rsidRPr="008E7E6B">
              <w:rPr>
                <w:sz w:val="20"/>
                <w:szCs w:val="20"/>
                <w:lang w:val="en-CA"/>
              </w:rPr>
              <w:t>59</w:t>
            </w:r>
          </w:p>
        </w:tc>
        <w:tc>
          <w:tcPr>
            <w:tcW w:w="900" w:type="pct"/>
          </w:tcPr>
          <w:p w14:paraId="5CAEF2EC" w14:textId="5A47E3E8" w:rsidR="00AA660E" w:rsidRPr="008E7E6B" w:rsidRDefault="00AA660E" w:rsidP="00F704FD">
            <w:pPr>
              <w:pStyle w:val="NoSpacing"/>
              <w:jc w:val="center"/>
              <w:rPr>
                <w:sz w:val="20"/>
                <w:szCs w:val="20"/>
                <w:lang w:val="en-CA"/>
              </w:rPr>
            </w:pPr>
            <w:r w:rsidRPr="008E7E6B">
              <w:rPr>
                <w:sz w:val="20"/>
                <w:szCs w:val="20"/>
                <w:lang w:val="en-CA"/>
              </w:rPr>
              <w:t>58.9</w:t>
            </w:r>
          </w:p>
        </w:tc>
        <w:tc>
          <w:tcPr>
            <w:tcW w:w="928" w:type="pct"/>
          </w:tcPr>
          <w:p w14:paraId="3EAA35A8" w14:textId="79789D39" w:rsidR="00AA660E" w:rsidRPr="008E7E6B" w:rsidRDefault="00AA660E" w:rsidP="00F704FD">
            <w:pPr>
              <w:pStyle w:val="NoSpacing"/>
              <w:jc w:val="center"/>
              <w:rPr>
                <w:sz w:val="20"/>
                <w:szCs w:val="20"/>
                <w:lang w:val="en-CA"/>
              </w:rPr>
            </w:pPr>
            <w:r w:rsidRPr="008E7E6B">
              <w:rPr>
                <w:sz w:val="20"/>
                <w:szCs w:val="20"/>
                <w:lang w:val="en-CA"/>
              </w:rPr>
              <w:t>43</w:t>
            </w:r>
          </w:p>
        </w:tc>
        <w:tc>
          <w:tcPr>
            <w:tcW w:w="1081" w:type="pct"/>
          </w:tcPr>
          <w:p w14:paraId="22D9336B" w14:textId="6E3B831E" w:rsidR="00AA660E" w:rsidRPr="008E7E6B" w:rsidRDefault="00AA660E" w:rsidP="00F704FD">
            <w:pPr>
              <w:pStyle w:val="NoSpacing"/>
              <w:jc w:val="center"/>
              <w:rPr>
                <w:sz w:val="20"/>
                <w:szCs w:val="20"/>
                <w:lang w:val="en-CA"/>
              </w:rPr>
            </w:pPr>
            <w:r w:rsidRPr="008E7E6B">
              <w:rPr>
                <w:sz w:val="20"/>
                <w:szCs w:val="20"/>
                <w:lang w:val="en-CA"/>
              </w:rPr>
              <w:t>51</w:t>
            </w:r>
          </w:p>
        </w:tc>
      </w:tr>
      <w:tr w:rsidR="00AA660E" w:rsidRPr="008E7E6B" w14:paraId="4933F1EC" w14:textId="77777777" w:rsidTr="002A4ED0">
        <w:trPr>
          <w:trHeight w:val="300"/>
        </w:trPr>
        <w:tc>
          <w:tcPr>
            <w:tcW w:w="431" w:type="pct"/>
          </w:tcPr>
          <w:p w14:paraId="4D785201" w14:textId="2F5EBAB7" w:rsidR="00AA660E" w:rsidRPr="008E7E6B" w:rsidRDefault="00AA660E" w:rsidP="00397C89">
            <w:pPr>
              <w:pStyle w:val="NoSpacing"/>
              <w:rPr>
                <w:sz w:val="20"/>
                <w:szCs w:val="20"/>
                <w:lang w:val="en-CA"/>
              </w:rPr>
            </w:pPr>
            <w:r w:rsidRPr="008E7E6B">
              <w:rPr>
                <w:sz w:val="20"/>
                <w:szCs w:val="20"/>
                <w:lang w:val="en-CA"/>
              </w:rPr>
              <w:t>2029</w:t>
            </w:r>
          </w:p>
        </w:tc>
        <w:tc>
          <w:tcPr>
            <w:tcW w:w="902" w:type="pct"/>
            <w:shd w:val="clear" w:color="auto" w:fill="auto"/>
          </w:tcPr>
          <w:p w14:paraId="1BEECEA0" w14:textId="074D48FE" w:rsidR="00AA660E" w:rsidRPr="008E7E6B" w:rsidRDefault="00AA660E" w:rsidP="00F704FD">
            <w:pPr>
              <w:pStyle w:val="NoSpacing"/>
              <w:jc w:val="center"/>
              <w:rPr>
                <w:sz w:val="20"/>
                <w:szCs w:val="20"/>
                <w:lang w:val="en-CA"/>
              </w:rPr>
            </w:pPr>
            <w:r w:rsidRPr="008E7E6B">
              <w:rPr>
                <w:sz w:val="20"/>
                <w:szCs w:val="20"/>
                <w:lang w:val="en-CA"/>
              </w:rPr>
              <w:t>43</w:t>
            </w:r>
          </w:p>
        </w:tc>
        <w:tc>
          <w:tcPr>
            <w:tcW w:w="757" w:type="pct"/>
            <w:shd w:val="clear" w:color="auto" w:fill="E2EFD9" w:themeFill="accent6" w:themeFillTint="33"/>
          </w:tcPr>
          <w:p w14:paraId="724CA440" w14:textId="592D0FDD" w:rsidR="00AA660E" w:rsidRPr="008E7E6B" w:rsidRDefault="00AA660E" w:rsidP="00F704FD">
            <w:pPr>
              <w:pStyle w:val="NoSpacing"/>
              <w:jc w:val="center"/>
              <w:rPr>
                <w:sz w:val="20"/>
                <w:szCs w:val="20"/>
                <w:lang w:val="en-CA"/>
              </w:rPr>
            </w:pPr>
            <w:r w:rsidRPr="008E7E6B">
              <w:rPr>
                <w:sz w:val="20"/>
                <w:szCs w:val="20"/>
                <w:lang w:val="en-CA"/>
              </w:rPr>
              <w:t>75</w:t>
            </w:r>
          </w:p>
        </w:tc>
        <w:tc>
          <w:tcPr>
            <w:tcW w:w="900" w:type="pct"/>
          </w:tcPr>
          <w:p w14:paraId="337996EF" w14:textId="3A12078D" w:rsidR="00AA660E" w:rsidRPr="008E7E6B" w:rsidRDefault="00AA660E" w:rsidP="00F704FD">
            <w:pPr>
              <w:pStyle w:val="NoSpacing"/>
              <w:jc w:val="center"/>
              <w:rPr>
                <w:sz w:val="20"/>
                <w:szCs w:val="20"/>
                <w:lang w:val="en-CA"/>
              </w:rPr>
            </w:pPr>
            <w:r w:rsidRPr="008E7E6B">
              <w:rPr>
                <w:sz w:val="20"/>
                <w:szCs w:val="20"/>
                <w:lang w:val="en-CA"/>
              </w:rPr>
              <w:t>74.8</w:t>
            </w:r>
          </w:p>
        </w:tc>
        <w:tc>
          <w:tcPr>
            <w:tcW w:w="928" w:type="pct"/>
          </w:tcPr>
          <w:p w14:paraId="5AA01B40" w14:textId="35C8B066" w:rsidR="00AA660E" w:rsidRPr="008E7E6B" w:rsidRDefault="00AA660E" w:rsidP="00F704FD">
            <w:pPr>
              <w:pStyle w:val="NoSpacing"/>
              <w:jc w:val="center"/>
              <w:rPr>
                <w:sz w:val="20"/>
                <w:szCs w:val="20"/>
                <w:lang w:val="en-CA"/>
              </w:rPr>
            </w:pPr>
            <w:r w:rsidRPr="008E7E6B">
              <w:rPr>
                <w:sz w:val="20"/>
                <w:szCs w:val="20"/>
                <w:lang w:val="en-CA"/>
              </w:rPr>
              <w:t>53</w:t>
            </w:r>
          </w:p>
        </w:tc>
        <w:tc>
          <w:tcPr>
            <w:tcW w:w="1081" w:type="pct"/>
          </w:tcPr>
          <w:p w14:paraId="4B424A94" w14:textId="3EA06444" w:rsidR="00AA660E" w:rsidRPr="008E7E6B" w:rsidRDefault="00AA660E" w:rsidP="00F704FD">
            <w:pPr>
              <w:pStyle w:val="NoSpacing"/>
              <w:jc w:val="center"/>
              <w:rPr>
                <w:sz w:val="20"/>
                <w:szCs w:val="20"/>
                <w:lang w:val="en-CA"/>
              </w:rPr>
            </w:pPr>
            <w:r w:rsidRPr="008E7E6B">
              <w:rPr>
                <w:sz w:val="20"/>
                <w:szCs w:val="20"/>
                <w:lang w:val="en-CA"/>
              </w:rPr>
              <w:t>59</w:t>
            </w:r>
          </w:p>
        </w:tc>
      </w:tr>
      <w:tr w:rsidR="00AA660E" w:rsidRPr="008E7E6B" w14:paraId="314F6FA9" w14:textId="77777777" w:rsidTr="002A4ED0">
        <w:trPr>
          <w:trHeight w:val="300"/>
        </w:trPr>
        <w:tc>
          <w:tcPr>
            <w:tcW w:w="431" w:type="pct"/>
          </w:tcPr>
          <w:p w14:paraId="0A06E0E7" w14:textId="41454F63" w:rsidR="00AA660E" w:rsidRPr="008E7E6B" w:rsidRDefault="00AA660E" w:rsidP="00397C89">
            <w:pPr>
              <w:pStyle w:val="NoSpacing"/>
              <w:rPr>
                <w:sz w:val="20"/>
                <w:szCs w:val="20"/>
                <w:lang w:val="en-CA"/>
              </w:rPr>
            </w:pPr>
            <w:r w:rsidRPr="008E7E6B">
              <w:rPr>
                <w:sz w:val="20"/>
                <w:szCs w:val="20"/>
                <w:lang w:val="en-CA"/>
              </w:rPr>
              <w:t>2030</w:t>
            </w:r>
          </w:p>
        </w:tc>
        <w:tc>
          <w:tcPr>
            <w:tcW w:w="902" w:type="pct"/>
            <w:shd w:val="clear" w:color="auto" w:fill="auto"/>
          </w:tcPr>
          <w:p w14:paraId="44EEAE3F" w14:textId="075956D0" w:rsidR="00AA660E" w:rsidRPr="008E7E6B" w:rsidRDefault="00AA660E" w:rsidP="00F704FD">
            <w:pPr>
              <w:pStyle w:val="NoSpacing"/>
              <w:jc w:val="center"/>
              <w:rPr>
                <w:sz w:val="20"/>
                <w:szCs w:val="20"/>
                <w:lang w:val="en-CA"/>
              </w:rPr>
            </w:pPr>
            <w:r w:rsidRPr="008E7E6B">
              <w:rPr>
                <w:sz w:val="20"/>
                <w:szCs w:val="20"/>
                <w:lang w:val="en-CA"/>
              </w:rPr>
              <w:t>60</w:t>
            </w:r>
          </w:p>
        </w:tc>
        <w:tc>
          <w:tcPr>
            <w:tcW w:w="757" w:type="pct"/>
            <w:shd w:val="clear" w:color="auto" w:fill="E2EFD9" w:themeFill="accent6" w:themeFillTint="33"/>
          </w:tcPr>
          <w:p w14:paraId="5C505DDD" w14:textId="17F6BDE3" w:rsidR="00AA660E" w:rsidRPr="008E7E6B" w:rsidRDefault="00AA660E" w:rsidP="00F704FD">
            <w:pPr>
              <w:pStyle w:val="NoSpacing"/>
              <w:jc w:val="center"/>
              <w:rPr>
                <w:sz w:val="20"/>
                <w:szCs w:val="20"/>
                <w:lang w:val="en-CA"/>
              </w:rPr>
            </w:pPr>
            <w:r w:rsidRPr="008E7E6B">
              <w:rPr>
                <w:sz w:val="20"/>
                <w:szCs w:val="20"/>
                <w:lang w:val="en-CA"/>
              </w:rPr>
              <w:t>90</w:t>
            </w:r>
          </w:p>
        </w:tc>
        <w:tc>
          <w:tcPr>
            <w:tcW w:w="900" w:type="pct"/>
          </w:tcPr>
          <w:p w14:paraId="139F86CC" w14:textId="7F329CAD" w:rsidR="00AA660E" w:rsidRPr="008E7E6B" w:rsidRDefault="00AA660E" w:rsidP="00F704FD">
            <w:pPr>
              <w:pStyle w:val="NoSpacing"/>
              <w:jc w:val="center"/>
              <w:rPr>
                <w:sz w:val="20"/>
                <w:szCs w:val="20"/>
                <w:lang w:val="en-CA"/>
              </w:rPr>
            </w:pPr>
            <w:r w:rsidRPr="008E7E6B">
              <w:rPr>
                <w:sz w:val="20"/>
                <w:szCs w:val="20"/>
                <w:lang w:val="en-CA"/>
              </w:rPr>
              <w:t>91</w:t>
            </w:r>
          </w:p>
        </w:tc>
        <w:tc>
          <w:tcPr>
            <w:tcW w:w="928" w:type="pct"/>
          </w:tcPr>
          <w:p w14:paraId="6A0306C4" w14:textId="53522B41" w:rsidR="00AA660E" w:rsidRPr="008E7E6B" w:rsidRDefault="00AA660E" w:rsidP="00F704FD">
            <w:pPr>
              <w:pStyle w:val="NoSpacing"/>
              <w:jc w:val="center"/>
              <w:rPr>
                <w:sz w:val="20"/>
                <w:szCs w:val="20"/>
                <w:lang w:val="en-CA"/>
              </w:rPr>
            </w:pPr>
            <w:r w:rsidRPr="008E7E6B">
              <w:rPr>
                <w:sz w:val="20"/>
                <w:szCs w:val="20"/>
                <w:lang w:val="en-CA"/>
              </w:rPr>
              <w:t>65</w:t>
            </w:r>
          </w:p>
        </w:tc>
        <w:tc>
          <w:tcPr>
            <w:tcW w:w="1081" w:type="pct"/>
          </w:tcPr>
          <w:p w14:paraId="1127720F" w14:textId="11513A11" w:rsidR="00AA660E" w:rsidRPr="008E7E6B" w:rsidRDefault="00AA660E" w:rsidP="00F704FD">
            <w:pPr>
              <w:pStyle w:val="NoSpacing"/>
              <w:jc w:val="center"/>
              <w:rPr>
                <w:sz w:val="20"/>
                <w:szCs w:val="20"/>
                <w:lang w:val="en-CA"/>
              </w:rPr>
            </w:pPr>
            <w:r w:rsidRPr="008E7E6B">
              <w:rPr>
                <w:sz w:val="20"/>
                <w:szCs w:val="20"/>
                <w:lang w:val="en-CA"/>
              </w:rPr>
              <w:t>68</w:t>
            </w:r>
          </w:p>
        </w:tc>
      </w:tr>
      <w:tr w:rsidR="00AA660E" w:rsidRPr="008E7E6B" w14:paraId="132C38B0" w14:textId="77777777" w:rsidTr="002A4ED0">
        <w:trPr>
          <w:trHeight w:val="300"/>
        </w:trPr>
        <w:tc>
          <w:tcPr>
            <w:tcW w:w="431" w:type="pct"/>
          </w:tcPr>
          <w:p w14:paraId="0F903B96" w14:textId="68202EBF" w:rsidR="00AA660E" w:rsidRPr="008E7E6B" w:rsidRDefault="00AA660E" w:rsidP="00397C89">
            <w:pPr>
              <w:pStyle w:val="NoSpacing"/>
              <w:rPr>
                <w:sz w:val="20"/>
                <w:szCs w:val="20"/>
                <w:lang w:val="en-CA"/>
              </w:rPr>
            </w:pPr>
            <w:r w:rsidRPr="008E7E6B">
              <w:rPr>
                <w:sz w:val="20"/>
                <w:szCs w:val="20"/>
                <w:lang w:val="en-CA"/>
              </w:rPr>
              <w:t>2031</w:t>
            </w:r>
          </w:p>
        </w:tc>
        <w:tc>
          <w:tcPr>
            <w:tcW w:w="902" w:type="pct"/>
            <w:shd w:val="clear" w:color="auto" w:fill="auto"/>
          </w:tcPr>
          <w:p w14:paraId="2B4A94F4" w14:textId="187C7DBB" w:rsidR="00AA660E" w:rsidRPr="008E7E6B" w:rsidRDefault="00AA660E" w:rsidP="00F704FD">
            <w:pPr>
              <w:pStyle w:val="NoSpacing"/>
              <w:jc w:val="center"/>
              <w:rPr>
                <w:sz w:val="20"/>
                <w:szCs w:val="20"/>
                <w:lang w:val="en-CA"/>
              </w:rPr>
            </w:pPr>
            <w:r w:rsidRPr="008E7E6B">
              <w:rPr>
                <w:sz w:val="20"/>
                <w:szCs w:val="20"/>
                <w:lang w:val="en-CA"/>
              </w:rPr>
              <w:t>74</w:t>
            </w:r>
          </w:p>
        </w:tc>
        <w:tc>
          <w:tcPr>
            <w:tcW w:w="757" w:type="pct"/>
            <w:shd w:val="clear" w:color="auto" w:fill="E2EFD9" w:themeFill="accent6" w:themeFillTint="33"/>
          </w:tcPr>
          <w:p w14:paraId="7272EE96" w14:textId="62EF0301" w:rsidR="00AA660E" w:rsidRPr="008E7E6B" w:rsidRDefault="00AA660E" w:rsidP="00F704FD">
            <w:pPr>
              <w:pStyle w:val="NoSpacing"/>
              <w:jc w:val="center"/>
              <w:rPr>
                <w:sz w:val="20"/>
                <w:szCs w:val="20"/>
                <w:lang w:val="en-CA"/>
              </w:rPr>
            </w:pPr>
            <w:r w:rsidRPr="008E7E6B">
              <w:rPr>
                <w:sz w:val="20"/>
                <w:szCs w:val="20"/>
                <w:lang w:val="en-CA"/>
              </w:rPr>
              <w:t>93</w:t>
            </w:r>
          </w:p>
        </w:tc>
        <w:tc>
          <w:tcPr>
            <w:tcW w:w="900" w:type="pct"/>
          </w:tcPr>
          <w:p w14:paraId="6741159A" w14:textId="1059AC89" w:rsidR="00AA660E" w:rsidRPr="008E7E6B" w:rsidRDefault="00AA660E" w:rsidP="00F704FD">
            <w:pPr>
              <w:pStyle w:val="NoSpacing"/>
              <w:jc w:val="center"/>
              <w:rPr>
                <w:sz w:val="20"/>
                <w:szCs w:val="20"/>
                <w:lang w:val="en-CA"/>
              </w:rPr>
            </w:pPr>
            <w:r w:rsidRPr="008E7E6B">
              <w:rPr>
                <w:sz w:val="20"/>
                <w:szCs w:val="20"/>
                <w:lang w:val="en-CA"/>
              </w:rPr>
              <w:t>93.2</w:t>
            </w:r>
          </w:p>
        </w:tc>
        <w:tc>
          <w:tcPr>
            <w:tcW w:w="928" w:type="pct"/>
          </w:tcPr>
          <w:p w14:paraId="46E6A14B" w14:textId="49B48446" w:rsidR="00AA660E" w:rsidRPr="008E7E6B" w:rsidRDefault="00AA660E" w:rsidP="00F704FD">
            <w:pPr>
              <w:pStyle w:val="NoSpacing"/>
              <w:jc w:val="center"/>
              <w:rPr>
                <w:sz w:val="20"/>
                <w:szCs w:val="20"/>
                <w:lang w:val="en-CA"/>
              </w:rPr>
            </w:pPr>
            <w:r w:rsidRPr="008E7E6B">
              <w:rPr>
                <w:sz w:val="20"/>
                <w:szCs w:val="20"/>
                <w:lang w:val="en-CA"/>
              </w:rPr>
              <w:t>77.5</w:t>
            </w:r>
          </w:p>
        </w:tc>
        <w:tc>
          <w:tcPr>
            <w:tcW w:w="1081" w:type="pct"/>
          </w:tcPr>
          <w:p w14:paraId="18C686C0" w14:textId="095788B5" w:rsidR="00AA660E" w:rsidRPr="008E7E6B" w:rsidRDefault="00AA660E" w:rsidP="00F704FD">
            <w:pPr>
              <w:pStyle w:val="NoSpacing"/>
              <w:jc w:val="center"/>
              <w:rPr>
                <w:sz w:val="20"/>
                <w:szCs w:val="20"/>
                <w:lang w:val="en-CA"/>
              </w:rPr>
            </w:pPr>
            <w:r w:rsidRPr="008E7E6B">
              <w:rPr>
                <w:sz w:val="20"/>
                <w:szCs w:val="20"/>
                <w:lang w:val="en-CA"/>
              </w:rPr>
              <w:t>76</w:t>
            </w:r>
          </w:p>
        </w:tc>
      </w:tr>
      <w:tr w:rsidR="00AA660E" w:rsidRPr="008E7E6B" w14:paraId="63432EEA" w14:textId="77777777" w:rsidTr="002A4ED0">
        <w:trPr>
          <w:trHeight w:val="300"/>
        </w:trPr>
        <w:tc>
          <w:tcPr>
            <w:tcW w:w="431" w:type="pct"/>
          </w:tcPr>
          <w:p w14:paraId="155B1093" w14:textId="330737D4" w:rsidR="00AA660E" w:rsidRPr="008E7E6B" w:rsidRDefault="00AA660E" w:rsidP="00397C89">
            <w:pPr>
              <w:pStyle w:val="NoSpacing"/>
              <w:rPr>
                <w:sz w:val="20"/>
                <w:szCs w:val="20"/>
                <w:lang w:val="en-CA"/>
              </w:rPr>
            </w:pPr>
            <w:r w:rsidRPr="008E7E6B">
              <w:rPr>
                <w:sz w:val="20"/>
                <w:szCs w:val="20"/>
                <w:lang w:val="en-CA"/>
              </w:rPr>
              <w:t>2032</w:t>
            </w:r>
          </w:p>
        </w:tc>
        <w:tc>
          <w:tcPr>
            <w:tcW w:w="902" w:type="pct"/>
            <w:shd w:val="clear" w:color="auto" w:fill="auto"/>
          </w:tcPr>
          <w:p w14:paraId="61978448" w14:textId="6D3EDB75" w:rsidR="00AA660E" w:rsidRPr="008E7E6B" w:rsidRDefault="00AA660E" w:rsidP="00F704FD">
            <w:pPr>
              <w:pStyle w:val="NoSpacing"/>
              <w:jc w:val="center"/>
              <w:rPr>
                <w:sz w:val="20"/>
                <w:szCs w:val="20"/>
                <w:lang w:val="en-CA"/>
              </w:rPr>
            </w:pPr>
            <w:r w:rsidRPr="008E7E6B">
              <w:rPr>
                <w:sz w:val="20"/>
                <w:szCs w:val="20"/>
                <w:lang w:val="en-CA"/>
              </w:rPr>
              <w:t>83</w:t>
            </w:r>
          </w:p>
        </w:tc>
        <w:tc>
          <w:tcPr>
            <w:tcW w:w="757" w:type="pct"/>
            <w:shd w:val="clear" w:color="auto" w:fill="E2EFD9" w:themeFill="accent6" w:themeFillTint="33"/>
          </w:tcPr>
          <w:p w14:paraId="0BFCE04F" w14:textId="54544559" w:rsidR="00AA660E" w:rsidRPr="008E7E6B" w:rsidRDefault="00AA660E" w:rsidP="00F704FD">
            <w:pPr>
              <w:pStyle w:val="NoSpacing"/>
              <w:jc w:val="center"/>
              <w:rPr>
                <w:sz w:val="20"/>
                <w:szCs w:val="20"/>
                <w:lang w:val="en-CA"/>
              </w:rPr>
            </w:pPr>
            <w:r w:rsidRPr="008E7E6B">
              <w:rPr>
                <w:sz w:val="20"/>
                <w:szCs w:val="20"/>
                <w:lang w:val="en-CA"/>
              </w:rPr>
              <w:t>95</w:t>
            </w:r>
          </w:p>
        </w:tc>
        <w:tc>
          <w:tcPr>
            <w:tcW w:w="900" w:type="pct"/>
          </w:tcPr>
          <w:p w14:paraId="0CBAB6CB" w14:textId="45AC82F3" w:rsidR="00AA660E" w:rsidRPr="008E7E6B" w:rsidRDefault="00AA660E" w:rsidP="00F704FD">
            <w:pPr>
              <w:pStyle w:val="NoSpacing"/>
              <w:jc w:val="center"/>
              <w:rPr>
                <w:sz w:val="20"/>
                <w:szCs w:val="20"/>
                <w:lang w:val="en-CA"/>
              </w:rPr>
            </w:pPr>
            <w:r w:rsidRPr="008E7E6B">
              <w:rPr>
                <w:sz w:val="20"/>
                <w:szCs w:val="20"/>
                <w:lang w:val="en-CA"/>
              </w:rPr>
              <w:t>95.2</w:t>
            </w:r>
          </w:p>
        </w:tc>
        <w:tc>
          <w:tcPr>
            <w:tcW w:w="928" w:type="pct"/>
          </w:tcPr>
          <w:p w14:paraId="72034E27" w14:textId="7245C211" w:rsidR="00AA660E" w:rsidRPr="008E7E6B" w:rsidRDefault="00AA660E" w:rsidP="00F704FD">
            <w:pPr>
              <w:pStyle w:val="NoSpacing"/>
              <w:jc w:val="center"/>
              <w:rPr>
                <w:sz w:val="20"/>
                <w:szCs w:val="20"/>
                <w:lang w:val="en-CA"/>
              </w:rPr>
            </w:pPr>
            <w:r w:rsidRPr="008E7E6B">
              <w:rPr>
                <w:sz w:val="20"/>
                <w:szCs w:val="20"/>
                <w:lang w:val="en-CA"/>
              </w:rPr>
              <w:t>87.5</w:t>
            </w:r>
          </w:p>
        </w:tc>
        <w:tc>
          <w:tcPr>
            <w:tcW w:w="1081" w:type="pct"/>
          </w:tcPr>
          <w:p w14:paraId="03DA2828" w14:textId="4DBF2697" w:rsidR="00AA660E" w:rsidRPr="008E7E6B" w:rsidRDefault="00AA660E" w:rsidP="00F704FD">
            <w:pPr>
              <w:pStyle w:val="NoSpacing"/>
              <w:jc w:val="center"/>
              <w:rPr>
                <w:sz w:val="20"/>
                <w:szCs w:val="20"/>
                <w:lang w:val="en-CA"/>
              </w:rPr>
            </w:pPr>
            <w:r w:rsidRPr="008E7E6B">
              <w:rPr>
                <w:sz w:val="20"/>
                <w:szCs w:val="20"/>
                <w:lang w:val="en-CA"/>
              </w:rPr>
              <w:t>82</w:t>
            </w:r>
          </w:p>
        </w:tc>
      </w:tr>
      <w:tr w:rsidR="00AA660E" w:rsidRPr="008E7E6B" w14:paraId="27D7E2A4" w14:textId="77777777" w:rsidTr="002A4ED0">
        <w:trPr>
          <w:trHeight w:val="300"/>
        </w:trPr>
        <w:tc>
          <w:tcPr>
            <w:tcW w:w="431" w:type="pct"/>
          </w:tcPr>
          <w:p w14:paraId="6F683732" w14:textId="015853CA" w:rsidR="00AA660E" w:rsidRPr="008E7E6B" w:rsidRDefault="00AA660E" w:rsidP="00397C89">
            <w:pPr>
              <w:pStyle w:val="NoSpacing"/>
              <w:rPr>
                <w:sz w:val="20"/>
                <w:szCs w:val="20"/>
                <w:lang w:val="en-CA"/>
              </w:rPr>
            </w:pPr>
            <w:r w:rsidRPr="008E7E6B">
              <w:rPr>
                <w:sz w:val="20"/>
                <w:szCs w:val="20"/>
                <w:lang w:val="en-CA"/>
              </w:rPr>
              <w:t>2033</w:t>
            </w:r>
          </w:p>
        </w:tc>
        <w:tc>
          <w:tcPr>
            <w:tcW w:w="902" w:type="pct"/>
          </w:tcPr>
          <w:p w14:paraId="0C1A5D59" w14:textId="0B8D4526" w:rsidR="00AA660E" w:rsidRPr="008E7E6B" w:rsidRDefault="00AA660E" w:rsidP="00F704FD">
            <w:pPr>
              <w:pStyle w:val="NoSpacing"/>
              <w:jc w:val="center"/>
              <w:rPr>
                <w:sz w:val="20"/>
                <w:szCs w:val="20"/>
                <w:lang w:val="en-CA"/>
              </w:rPr>
            </w:pPr>
            <w:r w:rsidRPr="008E7E6B">
              <w:rPr>
                <w:sz w:val="20"/>
                <w:szCs w:val="20"/>
                <w:lang w:val="en-CA"/>
              </w:rPr>
              <w:t>94</w:t>
            </w:r>
          </w:p>
        </w:tc>
        <w:tc>
          <w:tcPr>
            <w:tcW w:w="757" w:type="pct"/>
            <w:shd w:val="clear" w:color="auto" w:fill="E2EFD9" w:themeFill="accent6" w:themeFillTint="33"/>
          </w:tcPr>
          <w:p w14:paraId="2B75C88B" w14:textId="66982DC3" w:rsidR="00AA660E" w:rsidRPr="008E7E6B" w:rsidRDefault="00AA660E" w:rsidP="00F704FD">
            <w:pPr>
              <w:pStyle w:val="NoSpacing"/>
              <w:jc w:val="center"/>
              <w:rPr>
                <w:sz w:val="20"/>
                <w:szCs w:val="20"/>
                <w:lang w:val="en-CA"/>
              </w:rPr>
            </w:pPr>
            <w:r w:rsidRPr="008E7E6B">
              <w:rPr>
                <w:sz w:val="20"/>
                <w:szCs w:val="20"/>
                <w:lang w:val="en-CA"/>
              </w:rPr>
              <w:t>97</w:t>
            </w:r>
          </w:p>
        </w:tc>
        <w:tc>
          <w:tcPr>
            <w:tcW w:w="900" w:type="pct"/>
          </w:tcPr>
          <w:p w14:paraId="6A7BCD43" w14:textId="20D7BBB0" w:rsidR="00AA660E" w:rsidRPr="008E7E6B" w:rsidRDefault="00AA660E" w:rsidP="00F704FD">
            <w:pPr>
              <w:pStyle w:val="NoSpacing"/>
              <w:jc w:val="center"/>
              <w:rPr>
                <w:sz w:val="20"/>
                <w:szCs w:val="20"/>
                <w:lang w:val="en-CA"/>
              </w:rPr>
            </w:pPr>
            <w:r w:rsidRPr="008E7E6B">
              <w:rPr>
                <w:sz w:val="20"/>
                <w:szCs w:val="20"/>
                <w:lang w:val="en-CA"/>
              </w:rPr>
              <w:t>97.2</w:t>
            </w:r>
          </w:p>
        </w:tc>
        <w:tc>
          <w:tcPr>
            <w:tcW w:w="928" w:type="pct"/>
          </w:tcPr>
          <w:p w14:paraId="2A7E6A71" w14:textId="3551EB5E" w:rsidR="00AA660E" w:rsidRPr="008E7E6B" w:rsidRDefault="00AA660E" w:rsidP="00F704FD">
            <w:pPr>
              <w:pStyle w:val="NoSpacing"/>
              <w:jc w:val="center"/>
              <w:rPr>
                <w:sz w:val="20"/>
                <w:szCs w:val="20"/>
                <w:lang w:val="en-CA"/>
              </w:rPr>
            </w:pPr>
            <w:r w:rsidRPr="008E7E6B">
              <w:rPr>
                <w:sz w:val="20"/>
                <w:szCs w:val="20"/>
                <w:lang w:val="en-CA"/>
              </w:rPr>
              <w:t>94</w:t>
            </w:r>
          </w:p>
        </w:tc>
        <w:tc>
          <w:tcPr>
            <w:tcW w:w="1081" w:type="pct"/>
          </w:tcPr>
          <w:p w14:paraId="4EC6487E" w14:textId="3F6C24C9" w:rsidR="00AA660E" w:rsidRPr="008E7E6B" w:rsidRDefault="00AA660E" w:rsidP="00F704FD">
            <w:pPr>
              <w:pStyle w:val="NoSpacing"/>
              <w:jc w:val="center"/>
              <w:rPr>
                <w:sz w:val="20"/>
                <w:szCs w:val="20"/>
                <w:lang w:val="en-CA"/>
              </w:rPr>
            </w:pPr>
            <w:r w:rsidRPr="008E7E6B">
              <w:rPr>
                <w:sz w:val="20"/>
                <w:szCs w:val="20"/>
                <w:lang w:val="en-CA"/>
              </w:rPr>
              <w:t>88</w:t>
            </w:r>
          </w:p>
        </w:tc>
      </w:tr>
      <w:tr w:rsidR="00AA660E" w:rsidRPr="008E7E6B" w14:paraId="66B4175A" w14:textId="77777777" w:rsidTr="002A4ED0">
        <w:trPr>
          <w:trHeight w:val="300"/>
        </w:trPr>
        <w:tc>
          <w:tcPr>
            <w:tcW w:w="431" w:type="pct"/>
          </w:tcPr>
          <w:p w14:paraId="17E8CA58" w14:textId="262B5427" w:rsidR="00AA660E" w:rsidRPr="008E7E6B" w:rsidRDefault="00AA660E" w:rsidP="00397C89">
            <w:pPr>
              <w:pStyle w:val="NoSpacing"/>
              <w:rPr>
                <w:sz w:val="20"/>
                <w:szCs w:val="20"/>
                <w:lang w:val="en-CA"/>
              </w:rPr>
            </w:pPr>
            <w:r w:rsidRPr="008E7E6B">
              <w:rPr>
                <w:sz w:val="20"/>
                <w:szCs w:val="20"/>
                <w:lang w:val="en-CA"/>
              </w:rPr>
              <w:t>2034</w:t>
            </w:r>
          </w:p>
        </w:tc>
        <w:tc>
          <w:tcPr>
            <w:tcW w:w="902" w:type="pct"/>
          </w:tcPr>
          <w:p w14:paraId="58A73FAD" w14:textId="05E54B38" w:rsidR="00AA660E" w:rsidRPr="008E7E6B" w:rsidRDefault="00AA660E" w:rsidP="00F704FD">
            <w:pPr>
              <w:pStyle w:val="NoSpacing"/>
              <w:jc w:val="center"/>
              <w:rPr>
                <w:sz w:val="20"/>
                <w:szCs w:val="20"/>
                <w:lang w:val="en-CA"/>
              </w:rPr>
            </w:pPr>
            <w:r w:rsidRPr="008E7E6B">
              <w:rPr>
                <w:sz w:val="20"/>
                <w:szCs w:val="20"/>
                <w:lang w:val="en-CA"/>
              </w:rPr>
              <w:t>97</w:t>
            </w:r>
          </w:p>
        </w:tc>
        <w:tc>
          <w:tcPr>
            <w:tcW w:w="757" w:type="pct"/>
            <w:shd w:val="clear" w:color="auto" w:fill="E2EFD9" w:themeFill="accent6" w:themeFillTint="33"/>
          </w:tcPr>
          <w:p w14:paraId="66863D4E" w14:textId="22282392" w:rsidR="00AA660E" w:rsidRPr="008E7E6B" w:rsidRDefault="00AA660E" w:rsidP="00F704FD">
            <w:pPr>
              <w:pStyle w:val="NoSpacing"/>
              <w:jc w:val="center"/>
              <w:rPr>
                <w:sz w:val="20"/>
                <w:szCs w:val="20"/>
                <w:lang w:val="en-CA"/>
              </w:rPr>
            </w:pPr>
            <w:r w:rsidRPr="008E7E6B">
              <w:rPr>
                <w:sz w:val="20"/>
                <w:szCs w:val="20"/>
                <w:lang w:val="en-CA"/>
              </w:rPr>
              <w:t>99</w:t>
            </w:r>
          </w:p>
        </w:tc>
        <w:tc>
          <w:tcPr>
            <w:tcW w:w="900" w:type="pct"/>
          </w:tcPr>
          <w:p w14:paraId="2342A20C" w14:textId="14A1887D" w:rsidR="00AA660E" w:rsidRPr="008E7E6B" w:rsidRDefault="00AA660E" w:rsidP="00F704FD">
            <w:pPr>
              <w:pStyle w:val="NoSpacing"/>
              <w:jc w:val="center"/>
              <w:rPr>
                <w:sz w:val="20"/>
                <w:szCs w:val="20"/>
                <w:lang w:val="en-CA"/>
              </w:rPr>
            </w:pPr>
            <w:r w:rsidRPr="008E7E6B">
              <w:rPr>
                <w:sz w:val="20"/>
                <w:szCs w:val="20"/>
                <w:lang w:val="en-CA"/>
              </w:rPr>
              <w:t>99.3</w:t>
            </w:r>
          </w:p>
        </w:tc>
        <w:tc>
          <w:tcPr>
            <w:tcW w:w="928" w:type="pct"/>
          </w:tcPr>
          <w:p w14:paraId="4E4F63CD" w14:textId="24EB71CA" w:rsidR="00AA660E" w:rsidRPr="008E7E6B" w:rsidRDefault="00AA660E" w:rsidP="00F704FD">
            <w:pPr>
              <w:pStyle w:val="NoSpacing"/>
              <w:jc w:val="center"/>
              <w:rPr>
                <w:sz w:val="20"/>
                <w:szCs w:val="20"/>
                <w:lang w:val="en-CA"/>
              </w:rPr>
            </w:pPr>
            <w:r w:rsidRPr="008E7E6B">
              <w:rPr>
                <w:sz w:val="20"/>
                <w:szCs w:val="20"/>
                <w:lang w:val="en-CA"/>
              </w:rPr>
              <w:t>98.5</w:t>
            </w:r>
          </w:p>
        </w:tc>
        <w:tc>
          <w:tcPr>
            <w:tcW w:w="1081" w:type="pct"/>
          </w:tcPr>
          <w:p w14:paraId="56B48736" w14:textId="575B7982" w:rsidR="00AA660E" w:rsidRPr="008E7E6B" w:rsidRDefault="00AA660E" w:rsidP="00F704FD">
            <w:pPr>
              <w:pStyle w:val="NoSpacing"/>
              <w:jc w:val="center"/>
              <w:rPr>
                <w:sz w:val="20"/>
                <w:szCs w:val="20"/>
                <w:lang w:val="en-CA"/>
              </w:rPr>
            </w:pPr>
            <w:r w:rsidRPr="008E7E6B">
              <w:rPr>
                <w:sz w:val="20"/>
                <w:szCs w:val="20"/>
                <w:lang w:val="en-CA"/>
              </w:rPr>
              <w:t>94</w:t>
            </w:r>
          </w:p>
        </w:tc>
      </w:tr>
      <w:tr w:rsidR="00AA660E" w:rsidRPr="008E7E6B" w14:paraId="5275503C" w14:textId="77777777" w:rsidTr="002A4ED0">
        <w:trPr>
          <w:trHeight w:val="300"/>
        </w:trPr>
        <w:tc>
          <w:tcPr>
            <w:tcW w:w="431" w:type="pct"/>
          </w:tcPr>
          <w:p w14:paraId="4B347503" w14:textId="0BCAB0D5" w:rsidR="00AA660E" w:rsidRPr="008E7E6B" w:rsidRDefault="00AA660E" w:rsidP="00397C89">
            <w:pPr>
              <w:pStyle w:val="NoSpacing"/>
              <w:rPr>
                <w:sz w:val="20"/>
                <w:szCs w:val="20"/>
                <w:lang w:val="en-CA"/>
              </w:rPr>
            </w:pPr>
            <w:r w:rsidRPr="008E7E6B">
              <w:rPr>
                <w:sz w:val="20"/>
                <w:szCs w:val="20"/>
                <w:lang w:val="en-CA"/>
              </w:rPr>
              <w:t>2035</w:t>
            </w:r>
          </w:p>
        </w:tc>
        <w:tc>
          <w:tcPr>
            <w:tcW w:w="902" w:type="pct"/>
          </w:tcPr>
          <w:p w14:paraId="3679C743" w14:textId="718CE82C" w:rsidR="00AA660E" w:rsidRPr="008E7E6B" w:rsidRDefault="00AA660E" w:rsidP="00F704FD">
            <w:pPr>
              <w:pStyle w:val="NoSpacing"/>
              <w:jc w:val="center"/>
              <w:rPr>
                <w:sz w:val="20"/>
                <w:szCs w:val="20"/>
                <w:lang w:val="en-CA"/>
              </w:rPr>
            </w:pPr>
            <w:r w:rsidRPr="008E7E6B">
              <w:rPr>
                <w:sz w:val="20"/>
                <w:szCs w:val="20"/>
                <w:lang w:val="en-CA"/>
              </w:rPr>
              <w:t>100</w:t>
            </w:r>
          </w:p>
        </w:tc>
        <w:tc>
          <w:tcPr>
            <w:tcW w:w="757" w:type="pct"/>
            <w:shd w:val="clear" w:color="auto" w:fill="E2EFD9" w:themeFill="accent6" w:themeFillTint="33"/>
          </w:tcPr>
          <w:p w14:paraId="15EF8DB2" w14:textId="753C411C" w:rsidR="00AA660E" w:rsidRPr="008E7E6B" w:rsidRDefault="00AA660E" w:rsidP="00F704FD">
            <w:pPr>
              <w:pStyle w:val="NoSpacing"/>
              <w:jc w:val="center"/>
              <w:rPr>
                <w:sz w:val="20"/>
                <w:szCs w:val="20"/>
                <w:lang w:val="en-CA"/>
              </w:rPr>
            </w:pPr>
            <w:r w:rsidRPr="008E7E6B">
              <w:rPr>
                <w:sz w:val="20"/>
                <w:szCs w:val="20"/>
                <w:lang w:val="en-CA"/>
              </w:rPr>
              <w:t>100</w:t>
            </w:r>
          </w:p>
        </w:tc>
        <w:tc>
          <w:tcPr>
            <w:tcW w:w="900" w:type="pct"/>
          </w:tcPr>
          <w:p w14:paraId="78DE20A4" w14:textId="02A1D831" w:rsidR="00AA660E" w:rsidRPr="008E7E6B" w:rsidRDefault="00AA660E" w:rsidP="00F704FD">
            <w:pPr>
              <w:pStyle w:val="NoSpacing"/>
              <w:jc w:val="center"/>
              <w:rPr>
                <w:sz w:val="20"/>
                <w:szCs w:val="20"/>
                <w:lang w:val="en-CA"/>
              </w:rPr>
            </w:pPr>
            <w:r w:rsidRPr="008E7E6B">
              <w:rPr>
                <w:sz w:val="20"/>
                <w:szCs w:val="20"/>
                <w:lang w:val="en-CA"/>
              </w:rPr>
              <w:t>100</w:t>
            </w:r>
          </w:p>
        </w:tc>
        <w:tc>
          <w:tcPr>
            <w:tcW w:w="928" w:type="pct"/>
          </w:tcPr>
          <w:p w14:paraId="7C972278" w14:textId="576C5193" w:rsidR="00AA660E" w:rsidRPr="008E7E6B" w:rsidRDefault="00AA660E" w:rsidP="00F704FD">
            <w:pPr>
              <w:pStyle w:val="NoSpacing"/>
              <w:jc w:val="center"/>
              <w:rPr>
                <w:sz w:val="20"/>
                <w:szCs w:val="20"/>
                <w:lang w:val="en-CA"/>
              </w:rPr>
            </w:pPr>
            <w:r w:rsidRPr="008E7E6B">
              <w:rPr>
                <w:sz w:val="20"/>
                <w:szCs w:val="20"/>
                <w:lang w:val="en-CA"/>
              </w:rPr>
              <w:t>100</w:t>
            </w:r>
          </w:p>
        </w:tc>
        <w:tc>
          <w:tcPr>
            <w:tcW w:w="1081" w:type="pct"/>
          </w:tcPr>
          <w:p w14:paraId="4D124F34" w14:textId="3A74633B" w:rsidR="00AA660E" w:rsidRPr="008E7E6B" w:rsidRDefault="00AA660E" w:rsidP="00F704FD">
            <w:pPr>
              <w:pStyle w:val="NoSpacing"/>
              <w:jc w:val="center"/>
              <w:rPr>
                <w:sz w:val="20"/>
                <w:szCs w:val="20"/>
                <w:lang w:val="en-CA"/>
              </w:rPr>
            </w:pPr>
            <w:r w:rsidRPr="008E7E6B">
              <w:rPr>
                <w:sz w:val="20"/>
                <w:szCs w:val="20"/>
                <w:lang w:val="en-CA"/>
              </w:rPr>
              <w:t>100</w:t>
            </w:r>
          </w:p>
        </w:tc>
      </w:tr>
    </w:tbl>
    <w:p w14:paraId="3597499A" w14:textId="77777777" w:rsidR="00CC4505" w:rsidRPr="00500BCC" w:rsidRDefault="00CC4505" w:rsidP="00397C89">
      <w:pPr>
        <w:pStyle w:val="NoSpacing"/>
        <w:rPr>
          <w:lang w:val="en-CA"/>
        </w:rPr>
      </w:pPr>
    </w:p>
    <w:p w14:paraId="56EC074F" w14:textId="45ED57F9" w:rsidR="00AB0526" w:rsidRPr="00500BCC" w:rsidRDefault="00356346" w:rsidP="00AB0526">
      <w:pPr>
        <w:pStyle w:val="NoSpacing"/>
        <w:rPr>
          <w:lang w:val="en-CA"/>
        </w:rPr>
      </w:pPr>
      <w:bookmarkStart w:id="27" w:name="_Hlk128667037"/>
      <w:r>
        <w:rPr>
          <w:lang w:val="en-CA"/>
        </w:rPr>
        <w:t>*</w:t>
      </w:r>
      <w:r w:rsidR="00AB0526" w:rsidRPr="00500BCC">
        <w:rPr>
          <w:lang w:val="en-CA"/>
        </w:rPr>
        <w:t xml:space="preserve">If </w:t>
      </w:r>
      <w:r w:rsidR="00415694" w:rsidRPr="00500BCC">
        <w:rPr>
          <w:lang w:val="en-CA"/>
        </w:rPr>
        <w:t>considering</w:t>
      </w:r>
      <w:r w:rsidR="00AB0526" w:rsidRPr="00500BCC">
        <w:rPr>
          <w:lang w:val="en-CA"/>
        </w:rPr>
        <w:t xml:space="preserve"> </w:t>
      </w:r>
      <w:bookmarkEnd w:id="27"/>
      <w:r w:rsidR="00AB0526" w:rsidRPr="00500BCC">
        <w:rPr>
          <w:lang w:val="en-CA"/>
        </w:rPr>
        <w:t xml:space="preserve">partial credits for low- and medium-range PHEVs (16 to 49 km and 50 to 79 km) in 2026 to 2028 and full credits for longer-range PHEVs (80 km or more), compliance targets based on total </w:t>
      </w:r>
      <w:r w:rsidR="00AB0526" w:rsidRPr="00500BCC">
        <w:rPr>
          <w:i/>
          <w:iCs/>
          <w:lang w:val="en-CA"/>
        </w:rPr>
        <w:t>credits</w:t>
      </w:r>
      <w:r w:rsidR="00AB0526" w:rsidRPr="00500BCC">
        <w:rPr>
          <w:lang w:val="en-CA"/>
        </w:rPr>
        <w:t xml:space="preserve"> may be lower than actual </w:t>
      </w:r>
      <w:r w:rsidR="00AB0526" w:rsidRPr="00500BCC">
        <w:rPr>
          <w:i/>
          <w:iCs/>
          <w:lang w:val="en-CA"/>
        </w:rPr>
        <w:t>sales</w:t>
      </w:r>
      <w:r w:rsidR="00AB0526" w:rsidRPr="00500BCC">
        <w:rPr>
          <w:lang w:val="en-CA"/>
        </w:rPr>
        <w:t xml:space="preserve"> targets in 2026, 2027 and 2028. </w:t>
      </w:r>
    </w:p>
    <w:p w14:paraId="60047564" w14:textId="77777777" w:rsidR="00263819" w:rsidRPr="00500BCC" w:rsidRDefault="00263819" w:rsidP="00AB0526">
      <w:pPr>
        <w:pStyle w:val="NoSpacing"/>
        <w:rPr>
          <w:lang w:val="en-CA"/>
        </w:rPr>
      </w:pPr>
    </w:p>
    <w:p w14:paraId="5A3F6611" w14:textId="39F0A55B" w:rsidR="00AB0526" w:rsidRPr="00500BCC" w:rsidRDefault="00AB0526" w:rsidP="00AB0526">
      <w:pPr>
        <w:pStyle w:val="NoSpacing"/>
        <w:rPr>
          <w:b/>
          <w:bCs/>
          <w:lang w:val="en-CA"/>
        </w:rPr>
      </w:pPr>
      <w:r w:rsidRPr="00500BCC">
        <w:rPr>
          <w:b/>
          <w:bCs/>
          <w:lang w:val="en-CA"/>
        </w:rPr>
        <w:t>Table</w:t>
      </w:r>
      <w:r w:rsidR="00263819" w:rsidRPr="00500BCC">
        <w:rPr>
          <w:b/>
          <w:bCs/>
          <w:lang w:val="en-CA"/>
        </w:rPr>
        <w:t xml:space="preserve"> 2</w:t>
      </w:r>
      <w:r w:rsidRPr="00500BCC">
        <w:rPr>
          <w:b/>
          <w:bCs/>
          <w:lang w:val="en-CA"/>
        </w:rPr>
        <w:t xml:space="preserve">: ZEV sales targets translated into credit targets after estimation of PHEV market share and partial credits scenario.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39"/>
        <w:gridCol w:w="1439"/>
        <w:gridCol w:w="1439"/>
        <w:gridCol w:w="1439"/>
        <w:gridCol w:w="1438"/>
        <w:gridCol w:w="1438"/>
        <w:gridCol w:w="1438"/>
      </w:tblGrid>
      <w:tr w:rsidR="00AB0526" w:rsidRPr="00500BCC" w14:paraId="05FB67DD" w14:textId="77777777" w:rsidTr="002A4ED0">
        <w:tc>
          <w:tcPr>
            <w:tcW w:w="714" w:type="pct"/>
          </w:tcPr>
          <w:p w14:paraId="4D3B79C9" w14:textId="77777777" w:rsidR="00AB0526" w:rsidRPr="00500BCC" w:rsidRDefault="00AB0526" w:rsidP="0032199F">
            <w:pPr>
              <w:rPr>
                <w:b/>
                <w:bCs/>
                <w:lang w:val="en-CA"/>
              </w:rPr>
            </w:pPr>
            <w:r w:rsidRPr="00500BCC">
              <w:rPr>
                <w:b/>
                <w:bCs/>
                <w:lang w:val="en-CA"/>
              </w:rPr>
              <w:t>YEAR</w:t>
            </w:r>
          </w:p>
        </w:tc>
        <w:tc>
          <w:tcPr>
            <w:tcW w:w="714" w:type="pct"/>
            <w:shd w:val="clear" w:color="auto" w:fill="C5E0B3" w:themeFill="accent6" w:themeFillTint="66"/>
            <w:vAlign w:val="center"/>
          </w:tcPr>
          <w:p w14:paraId="4D8BD7E2" w14:textId="7B95F8F6" w:rsidR="00AB0526" w:rsidRPr="00500BCC" w:rsidRDefault="00AB0526" w:rsidP="00AB0526">
            <w:pPr>
              <w:jc w:val="center"/>
              <w:rPr>
                <w:b/>
                <w:bCs/>
                <w:lang w:val="en-CA"/>
              </w:rPr>
            </w:pPr>
            <w:r w:rsidRPr="00500BCC">
              <w:rPr>
                <w:b/>
                <w:bCs/>
                <w:lang w:val="en-CA"/>
              </w:rPr>
              <w:t>ZEV Sales</w:t>
            </w:r>
          </w:p>
          <w:p w14:paraId="2C537199" w14:textId="63E36B23" w:rsidR="00AB0526" w:rsidRPr="00500BCC" w:rsidRDefault="00AB0526" w:rsidP="00AB0526">
            <w:pPr>
              <w:jc w:val="center"/>
              <w:rPr>
                <w:b/>
                <w:bCs/>
                <w:lang w:val="en-CA"/>
              </w:rPr>
            </w:pPr>
            <w:r w:rsidRPr="00500BCC">
              <w:rPr>
                <w:b/>
                <w:bCs/>
                <w:lang w:val="en-CA"/>
              </w:rPr>
              <w:t>targets</w:t>
            </w:r>
          </w:p>
        </w:tc>
        <w:tc>
          <w:tcPr>
            <w:tcW w:w="714" w:type="pct"/>
            <w:shd w:val="clear" w:color="auto" w:fill="E2EFD9" w:themeFill="accent6" w:themeFillTint="33"/>
            <w:vAlign w:val="center"/>
          </w:tcPr>
          <w:p w14:paraId="1839BF72" w14:textId="77777777" w:rsidR="00AB0526" w:rsidRPr="00500BCC" w:rsidRDefault="00AB0526" w:rsidP="0032199F">
            <w:pPr>
              <w:jc w:val="center"/>
              <w:rPr>
                <w:b/>
                <w:bCs/>
                <w:lang w:val="en-CA"/>
              </w:rPr>
            </w:pPr>
            <w:r w:rsidRPr="00500BCC">
              <w:rPr>
                <w:b/>
                <w:bCs/>
                <w:lang w:val="en-CA"/>
              </w:rPr>
              <w:t>BEV</w:t>
            </w:r>
          </w:p>
          <w:p w14:paraId="7A72291D" w14:textId="77777777" w:rsidR="00AB0526" w:rsidRPr="00500BCC" w:rsidRDefault="00AB0526" w:rsidP="0032199F">
            <w:pPr>
              <w:jc w:val="center"/>
              <w:rPr>
                <w:b/>
                <w:bCs/>
                <w:lang w:val="en-CA"/>
              </w:rPr>
            </w:pPr>
            <w:r w:rsidRPr="00500BCC">
              <w:rPr>
                <w:b/>
                <w:bCs/>
                <w:lang w:val="en-CA"/>
              </w:rPr>
              <w:t xml:space="preserve">Sales </w:t>
            </w:r>
            <w:r w:rsidRPr="00500BCC">
              <w:rPr>
                <w:b/>
                <w:bCs/>
                <w:vertAlign w:val="superscript"/>
                <w:lang w:val="en-CA"/>
              </w:rPr>
              <w:t>(a)</w:t>
            </w:r>
          </w:p>
        </w:tc>
        <w:tc>
          <w:tcPr>
            <w:tcW w:w="714" w:type="pct"/>
            <w:shd w:val="clear" w:color="auto" w:fill="E2EFD9" w:themeFill="accent6" w:themeFillTint="33"/>
            <w:vAlign w:val="center"/>
          </w:tcPr>
          <w:p w14:paraId="08A0404A" w14:textId="77777777" w:rsidR="00AB0526" w:rsidRPr="00500BCC" w:rsidRDefault="00AB0526" w:rsidP="0032199F">
            <w:pPr>
              <w:jc w:val="center"/>
              <w:rPr>
                <w:b/>
                <w:bCs/>
                <w:lang w:val="en-CA"/>
              </w:rPr>
            </w:pPr>
            <w:r w:rsidRPr="00500BCC">
              <w:rPr>
                <w:b/>
                <w:bCs/>
                <w:lang w:val="en-CA"/>
              </w:rPr>
              <w:t>PHEV</w:t>
            </w:r>
          </w:p>
          <w:p w14:paraId="06CF0903" w14:textId="77777777" w:rsidR="00AB0526" w:rsidRPr="00500BCC" w:rsidRDefault="00AB0526" w:rsidP="0032199F">
            <w:pPr>
              <w:jc w:val="center"/>
              <w:rPr>
                <w:b/>
                <w:bCs/>
                <w:lang w:val="en-CA"/>
              </w:rPr>
            </w:pPr>
            <w:r w:rsidRPr="00500BCC">
              <w:rPr>
                <w:b/>
                <w:bCs/>
                <w:lang w:val="en-CA"/>
              </w:rPr>
              <w:t xml:space="preserve">Sales </w:t>
            </w:r>
            <w:r w:rsidRPr="00500BCC">
              <w:rPr>
                <w:b/>
                <w:bCs/>
                <w:vertAlign w:val="superscript"/>
                <w:lang w:val="en-CA"/>
              </w:rPr>
              <w:t>(b)</w:t>
            </w:r>
          </w:p>
        </w:tc>
        <w:tc>
          <w:tcPr>
            <w:tcW w:w="714" w:type="pct"/>
            <w:shd w:val="clear" w:color="auto" w:fill="FFF2CC" w:themeFill="accent4" w:themeFillTint="33"/>
            <w:vAlign w:val="center"/>
          </w:tcPr>
          <w:p w14:paraId="4F997F6C" w14:textId="77777777" w:rsidR="00AB0526" w:rsidRPr="00500BCC" w:rsidRDefault="00AB0526" w:rsidP="0032199F">
            <w:pPr>
              <w:jc w:val="center"/>
              <w:rPr>
                <w:b/>
                <w:bCs/>
                <w:lang w:val="en-CA"/>
              </w:rPr>
            </w:pPr>
            <w:r w:rsidRPr="00500BCC">
              <w:rPr>
                <w:b/>
                <w:bCs/>
                <w:lang w:val="en-CA"/>
              </w:rPr>
              <w:t>BEV</w:t>
            </w:r>
          </w:p>
          <w:p w14:paraId="4EBA2913" w14:textId="77777777" w:rsidR="00AB0526" w:rsidRPr="00500BCC" w:rsidRDefault="00AB0526" w:rsidP="0032199F">
            <w:pPr>
              <w:jc w:val="center"/>
              <w:rPr>
                <w:b/>
                <w:bCs/>
                <w:lang w:val="en-CA"/>
              </w:rPr>
            </w:pPr>
            <w:r w:rsidRPr="00500BCC">
              <w:rPr>
                <w:b/>
                <w:bCs/>
                <w:lang w:val="en-CA"/>
              </w:rPr>
              <w:t xml:space="preserve">Credits </w:t>
            </w:r>
            <w:r w:rsidRPr="00500BCC">
              <w:rPr>
                <w:b/>
                <w:bCs/>
                <w:vertAlign w:val="superscript"/>
                <w:lang w:val="en-CA"/>
              </w:rPr>
              <w:t>(c)</w:t>
            </w:r>
          </w:p>
        </w:tc>
        <w:tc>
          <w:tcPr>
            <w:tcW w:w="714" w:type="pct"/>
            <w:shd w:val="clear" w:color="auto" w:fill="FFF2CC" w:themeFill="accent4" w:themeFillTint="33"/>
            <w:vAlign w:val="center"/>
          </w:tcPr>
          <w:p w14:paraId="56C6ABBF" w14:textId="77777777" w:rsidR="00AB0526" w:rsidRPr="00500BCC" w:rsidRDefault="00AB0526" w:rsidP="0032199F">
            <w:pPr>
              <w:jc w:val="center"/>
              <w:rPr>
                <w:b/>
                <w:bCs/>
                <w:lang w:val="en-CA"/>
              </w:rPr>
            </w:pPr>
            <w:r w:rsidRPr="00500BCC">
              <w:rPr>
                <w:b/>
                <w:bCs/>
                <w:lang w:val="en-CA"/>
              </w:rPr>
              <w:t xml:space="preserve">PHEV Credits </w:t>
            </w:r>
            <w:r w:rsidRPr="00500BCC">
              <w:rPr>
                <w:b/>
                <w:bCs/>
                <w:vertAlign w:val="superscript"/>
                <w:lang w:val="en-CA"/>
              </w:rPr>
              <w:t>(d)</w:t>
            </w:r>
          </w:p>
        </w:tc>
        <w:tc>
          <w:tcPr>
            <w:tcW w:w="714" w:type="pct"/>
            <w:shd w:val="clear" w:color="auto" w:fill="FFE599" w:themeFill="accent4" w:themeFillTint="66"/>
            <w:vAlign w:val="center"/>
          </w:tcPr>
          <w:p w14:paraId="1EB7A32B" w14:textId="77777777" w:rsidR="00AB0526" w:rsidRPr="00500BCC" w:rsidRDefault="00AB0526" w:rsidP="0032199F">
            <w:pPr>
              <w:jc w:val="center"/>
              <w:rPr>
                <w:b/>
                <w:bCs/>
                <w:lang w:val="en-CA"/>
              </w:rPr>
            </w:pPr>
            <w:r w:rsidRPr="00500BCC">
              <w:rPr>
                <w:b/>
                <w:bCs/>
                <w:lang w:val="en-CA"/>
              </w:rPr>
              <w:t xml:space="preserve">CREDIT targets </w:t>
            </w:r>
            <w:r w:rsidRPr="00500BCC">
              <w:rPr>
                <w:b/>
                <w:bCs/>
                <w:vertAlign w:val="superscript"/>
                <w:lang w:val="en-CA"/>
              </w:rPr>
              <w:t>(e)</w:t>
            </w:r>
          </w:p>
        </w:tc>
      </w:tr>
      <w:tr w:rsidR="00AA660E" w:rsidRPr="008E7E6B" w14:paraId="4D6BDDFA" w14:textId="77777777" w:rsidTr="002A4ED0">
        <w:tc>
          <w:tcPr>
            <w:tcW w:w="714" w:type="pct"/>
            <w:vAlign w:val="bottom"/>
          </w:tcPr>
          <w:p w14:paraId="18CC4874"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2026</w:t>
            </w:r>
          </w:p>
        </w:tc>
        <w:tc>
          <w:tcPr>
            <w:tcW w:w="714" w:type="pct"/>
            <w:shd w:val="clear" w:color="auto" w:fill="C5E0B3" w:themeFill="accent6" w:themeFillTint="66"/>
            <w:vAlign w:val="center"/>
          </w:tcPr>
          <w:p w14:paraId="70044256" w14:textId="77777777"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26</w:t>
            </w:r>
          </w:p>
        </w:tc>
        <w:tc>
          <w:tcPr>
            <w:tcW w:w="714" w:type="pct"/>
            <w:shd w:val="clear" w:color="auto" w:fill="E2EFD9" w:themeFill="accent6" w:themeFillTint="33"/>
            <w:vAlign w:val="bottom"/>
          </w:tcPr>
          <w:p w14:paraId="6E71BFEC" w14:textId="678408EC"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19.5</w:t>
            </w:r>
          </w:p>
        </w:tc>
        <w:tc>
          <w:tcPr>
            <w:tcW w:w="714" w:type="pct"/>
            <w:shd w:val="clear" w:color="auto" w:fill="E2EFD9" w:themeFill="accent6" w:themeFillTint="33"/>
            <w:vAlign w:val="bottom"/>
          </w:tcPr>
          <w:p w14:paraId="1CDCA31E" w14:textId="60CFA91E"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6.5</w:t>
            </w:r>
          </w:p>
        </w:tc>
        <w:tc>
          <w:tcPr>
            <w:tcW w:w="714" w:type="pct"/>
            <w:shd w:val="clear" w:color="auto" w:fill="FFF2CC" w:themeFill="accent4" w:themeFillTint="33"/>
            <w:vAlign w:val="bottom"/>
          </w:tcPr>
          <w:p w14:paraId="576A7C68" w14:textId="7128215C"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19.5</w:t>
            </w:r>
          </w:p>
        </w:tc>
        <w:tc>
          <w:tcPr>
            <w:tcW w:w="714" w:type="pct"/>
            <w:shd w:val="clear" w:color="auto" w:fill="FFF2CC" w:themeFill="accent4" w:themeFillTint="33"/>
            <w:vAlign w:val="bottom"/>
          </w:tcPr>
          <w:p w14:paraId="2B3378B3" w14:textId="02811D50"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2.9</w:t>
            </w:r>
          </w:p>
        </w:tc>
        <w:tc>
          <w:tcPr>
            <w:tcW w:w="714" w:type="pct"/>
            <w:shd w:val="clear" w:color="auto" w:fill="FFE599" w:themeFill="accent4" w:themeFillTint="66"/>
            <w:vAlign w:val="bottom"/>
          </w:tcPr>
          <w:p w14:paraId="70AA397A" w14:textId="77777777"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22.4</w:t>
            </w:r>
          </w:p>
        </w:tc>
      </w:tr>
      <w:tr w:rsidR="00AA660E" w:rsidRPr="008E7E6B" w14:paraId="0E14208D" w14:textId="77777777" w:rsidTr="002A4ED0">
        <w:tc>
          <w:tcPr>
            <w:tcW w:w="714" w:type="pct"/>
            <w:vAlign w:val="bottom"/>
          </w:tcPr>
          <w:p w14:paraId="3E2FA5F3"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2027</w:t>
            </w:r>
          </w:p>
        </w:tc>
        <w:tc>
          <w:tcPr>
            <w:tcW w:w="714" w:type="pct"/>
            <w:shd w:val="clear" w:color="auto" w:fill="C5E0B3" w:themeFill="accent6" w:themeFillTint="66"/>
            <w:vAlign w:val="center"/>
          </w:tcPr>
          <w:p w14:paraId="44FE24DB" w14:textId="6112CB3F"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43</w:t>
            </w:r>
          </w:p>
        </w:tc>
        <w:tc>
          <w:tcPr>
            <w:tcW w:w="714" w:type="pct"/>
            <w:shd w:val="clear" w:color="auto" w:fill="E2EFD9" w:themeFill="accent6" w:themeFillTint="33"/>
            <w:vAlign w:val="bottom"/>
          </w:tcPr>
          <w:p w14:paraId="64D8CDA2" w14:textId="07BAAF10"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33.1</w:t>
            </w:r>
          </w:p>
        </w:tc>
        <w:tc>
          <w:tcPr>
            <w:tcW w:w="714" w:type="pct"/>
            <w:shd w:val="clear" w:color="auto" w:fill="E2EFD9" w:themeFill="accent6" w:themeFillTint="33"/>
            <w:vAlign w:val="bottom"/>
          </w:tcPr>
          <w:p w14:paraId="6C55A527" w14:textId="25550A6F"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9.9</w:t>
            </w:r>
          </w:p>
        </w:tc>
        <w:tc>
          <w:tcPr>
            <w:tcW w:w="714" w:type="pct"/>
            <w:shd w:val="clear" w:color="auto" w:fill="FFF2CC" w:themeFill="accent4" w:themeFillTint="33"/>
            <w:vAlign w:val="bottom"/>
          </w:tcPr>
          <w:p w14:paraId="2CADB930" w14:textId="5F41B201"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33.1</w:t>
            </w:r>
          </w:p>
        </w:tc>
        <w:tc>
          <w:tcPr>
            <w:tcW w:w="714" w:type="pct"/>
            <w:shd w:val="clear" w:color="auto" w:fill="FFF2CC" w:themeFill="accent4" w:themeFillTint="33"/>
            <w:vAlign w:val="bottom"/>
          </w:tcPr>
          <w:p w14:paraId="1FA62F32" w14:textId="7650989C"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7.4</w:t>
            </w:r>
          </w:p>
        </w:tc>
        <w:tc>
          <w:tcPr>
            <w:tcW w:w="714" w:type="pct"/>
            <w:shd w:val="clear" w:color="auto" w:fill="FFE599" w:themeFill="accent4" w:themeFillTint="66"/>
            <w:vAlign w:val="bottom"/>
          </w:tcPr>
          <w:p w14:paraId="456D52F3" w14:textId="08EEDE56"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40.5</w:t>
            </w:r>
          </w:p>
        </w:tc>
      </w:tr>
      <w:tr w:rsidR="00AA660E" w:rsidRPr="008E7E6B" w14:paraId="2B9017C3" w14:textId="77777777" w:rsidTr="002A4ED0">
        <w:tc>
          <w:tcPr>
            <w:tcW w:w="714" w:type="pct"/>
            <w:vAlign w:val="bottom"/>
          </w:tcPr>
          <w:p w14:paraId="353186C2"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2028</w:t>
            </w:r>
          </w:p>
        </w:tc>
        <w:tc>
          <w:tcPr>
            <w:tcW w:w="714" w:type="pct"/>
            <w:shd w:val="clear" w:color="auto" w:fill="C5E0B3" w:themeFill="accent6" w:themeFillTint="66"/>
            <w:vAlign w:val="center"/>
          </w:tcPr>
          <w:p w14:paraId="480B8988" w14:textId="08C1AD81" w:rsidR="00AA660E" w:rsidRPr="008E7E6B" w:rsidRDefault="00AA660E" w:rsidP="008E7E6B">
            <w:pPr>
              <w:jc w:val="center"/>
              <w:rPr>
                <w:b/>
                <w:bCs/>
                <w:sz w:val="20"/>
                <w:szCs w:val="20"/>
                <w:lang w:val="en-CA"/>
              </w:rPr>
            </w:pPr>
            <w:r w:rsidRPr="008E7E6B">
              <w:rPr>
                <w:b/>
                <w:bCs/>
                <w:sz w:val="20"/>
                <w:szCs w:val="20"/>
                <w:lang w:val="en-CA"/>
              </w:rPr>
              <w:t>59</w:t>
            </w:r>
          </w:p>
        </w:tc>
        <w:tc>
          <w:tcPr>
            <w:tcW w:w="714" w:type="pct"/>
            <w:shd w:val="clear" w:color="auto" w:fill="E2EFD9" w:themeFill="accent6" w:themeFillTint="33"/>
            <w:vAlign w:val="bottom"/>
          </w:tcPr>
          <w:p w14:paraId="7DA80410" w14:textId="2B699805"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46.0</w:t>
            </w:r>
          </w:p>
        </w:tc>
        <w:tc>
          <w:tcPr>
            <w:tcW w:w="714" w:type="pct"/>
            <w:shd w:val="clear" w:color="auto" w:fill="E2EFD9" w:themeFill="accent6" w:themeFillTint="33"/>
            <w:vAlign w:val="bottom"/>
          </w:tcPr>
          <w:p w14:paraId="31B0DBF7" w14:textId="649426BB"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13.0</w:t>
            </w:r>
          </w:p>
        </w:tc>
        <w:tc>
          <w:tcPr>
            <w:tcW w:w="714" w:type="pct"/>
            <w:shd w:val="clear" w:color="auto" w:fill="FFF2CC" w:themeFill="accent4" w:themeFillTint="33"/>
            <w:vAlign w:val="bottom"/>
          </w:tcPr>
          <w:p w14:paraId="68F359D6" w14:textId="3F041981"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46.0</w:t>
            </w:r>
          </w:p>
        </w:tc>
        <w:tc>
          <w:tcPr>
            <w:tcW w:w="714" w:type="pct"/>
            <w:shd w:val="clear" w:color="auto" w:fill="FFF2CC" w:themeFill="accent4" w:themeFillTint="33"/>
            <w:vAlign w:val="bottom"/>
          </w:tcPr>
          <w:p w14:paraId="5ACA4F0B" w14:textId="634DCE17"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9.7</w:t>
            </w:r>
          </w:p>
        </w:tc>
        <w:tc>
          <w:tcPr>
            <w:tcW w:w="714" w:type="pct"/>
            <w:shd w:val="clear" w:color="auto" w:fill="FFE599" w:themeFill="accent4" w:themeFillTint="66"/>
            <w:vAlign w:val="bottom"/>
          </w:tcPr>
          <w:p w14:paraId="1E472CD8" w14:textId="1293A9E4"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55.8</w:t>
            </w:r>
          </w:p>
        </w:tc>
      </w:tr>
      <w:tr w:rsidR="00AA660E" w:rsidRPr="008E7E6B" w14:paraId="6143DC3B" w14:textId="77777777" w:rsidTr="002A4ED0">
        <w:tc>
          <w:tcPr>
            <w:tcW w:w="714" w:type="pct"/>
            <w:vAlign w:val="bottom"/>
          </w:tcPr>
          <w:p w14:paraId="51EC5DA5"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2029</w:t>
            </w:r>
          </w:p>
        </w:tc>
        <w:tc>
          <w:tcPr>
            <w:tcW w:w="714" w:type="pct"/>
            <w:shd w:val="clear" w:color="auto" w:fill="C5E0B3" w:themeFill="accent6" w:themeFillTint="66"/>
            <w:vAlign w:val="center"/>
          </w:tcPr>
          <w:p w14:paraId="73D1598E" w14:textId="5A1B40B0" w:rsidR="00AA660E" w:rsidRPr="008E7E6B" w:rsidRDefault="00AA660E" w:rsidP="008E7E6B">
            <w:pPr>
              <w:jc w:val="center"/>
              <w:rPr>
                <w:b/>
                <w:bCs/>
                <w:sz w:val="20"/>
                <w:szCs w:val="20"/>
                <w:lang w:val="en-CA"/>
              </w:rPr>
            </w:pPr>
            <w:r w:rsidRPr="008E7E6B">
              <w:rPr>
                <w:b/>
                <w:bCs/>
                <w:sz w:val="20"/>
                <w:szCs w:val="20"/>
                <w:lang w:val="en-CA"/>
              </w:rPr>
              <w:t>75</w:t>
            </w:r>
          </w:p>
        </w:tc>
        <w:tc>
          <w:tcPr>
            <w:tcW w:w="714" w:type="pct"/>
            <w:shd w:val="clear" w:color="auto" w:fill="E2EFD9" w:themeFill="accent6" w:themeFillTint="33"/>
            <w:vAlign w:val="bottom"/>
          </w:tcPr>
          <w:p w14:paraId="41659BE4" w14:textId="76550B41"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59.3</w:t>
            </w:r>
          </w:p>
        </w:tc>
        <w:tc>
          <w:tcPr>
            <w:tcW w:w="714" w:type="pct"/>
            <w:shd w:val="clear" w:color="auto" w:fill="E2EFD9" w:themeFill="accent6" w:themeFillTint="33"/>
            <w:vAlign w:val="bottom"/>
          </w:tcPr>
          <w:p w14:paraId="721A44AE" w14:textId="3A5B847F"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15.8</w:t>
            </w:r>
          </w:p>
        </w:tc>
        <w:tc>
          <w:tcPr>
            <w:tcW w:w="714" w:type="pct"/>
            <w:shd w:val="clear" w:color="auto" w:fill="FFF2CC" w:themeFill="accent4" w:themeFillTint="33"/>
            <w:vAlign w:val="bottom"/>
          </w:tcPr>
          <w:p w14:paraId="74C9B2A8" w14:textId="0F84491C"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59.3</w:t>
            </w:r>
          </w:p>
        </w:tc>
        <w:tc>
          <w:tcPr>
            <w:tcW w:w="714" w:type="pct"/>
            <w:shd w:val="clear" w:color="auto" w:fill="FFF2CC" w:themeFill="accent4" w:themeFillTint="33"/>
            <w:vAlign w:val="bottom"/>
          </w:tcPr>
          <w:p w14:paraId="78D7C326" w14:textId="401DAA17"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15.8</w:t>
            </w:r>
          </w:p>
        </w:tc>
        <w:tc>
          <w:tcPr>
            <w:tcW w:w="714" w:type="pct"/>
            <w:shd w:val="clear" w:color="auto" w:fill="FFE599" w:themeFill="accent4" w:themeFillTint="66"/>
            <w:vAlign w:val="bottom"/>
          </w:tcPr>
          <w:p w14:paraId="08668D35" w14:textId="55BE1A58"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75.0</w:t>
            </w:r>
          </w:p>
        </w:tc>
      </w:tr>
      <w:tr w:rsidR="00AA660E" w:rsidRPr="008E7E6B" w14:paraId="0D1CDEDC" w14:textId="77777777" w:rsidTr="002A4ED0">
        <w:tc>
          <w:tcPr>
            <w:tcW w:w="714" w:type="pct"/>
            <w:vAlign w:val="bottom"/>
          </w:tcPr>
          <w:p w14:paraId="0364A332"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2030</w:t>
            </w:r>
          </w:p>
        </w:tc>
        <w:tc>
          <w:tcPr>
            <w:tcW w:w="714" w:type="pct"/>
            <w:shd w:val="clear" w:color="auto" w:fill="C5E0B3" w:themeFill="accent6" w:themeFillTint="66"/>
            <w:vAlign w:val="center"/>
          </w:tcPr>
          <w:p w14:paraId="46D56DE2" w14:textId="5E618E06" w:rsidR="00AA660E" w:rsidRPr="008E7E6B" w:rsidRDefault="00AA660E" w:rsidP="008E7E6B">
            <w:pPr>
              <w:jc w:val="center"/>
              <w:rPr>
                <w:b/>
                <w:bCs/>
                <w:sz w:val="20"/>
                <w:szCs w:val="20"/>
                <w:lang w:val="en-CA"/>
              </w:rPr>
            </w:pPr>
            <w:r w:rsidRPr="008E7E6B">
              <w:rPr>
                <w:b/>
                <w:bCs/>
                <w:sz w:val="20"/>
                <w:szCs w:val="20"/>
                <w:lang w:val="en-CA"/>
              </w:rPr>
              <w:t>90</w:t>
            </w:r>
          </w:p>
        </w:tc>
        <w:tc>
          <w:tcPr>
            <w:tcW w:w="714" w:type="pct"/>
            <w:shd w:val="clear" w:color="auto" w:fill="E2EFD9" w:themeFill="accent6" w:themeFillTint="33"/>
            <w:vAlign w:val="bottom"/>
          </w:tcPr>
          <w:p w14:paraId="04E56433" w14:textId="71226E2B"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72.0</w:t>
            </w:r>
          </w:p>
        </w:tc>
        <w:tc>
          <w:tcPr>
            <w:tcW w:w="714" w:type="pct"/>
            <w:shd w:val="clear" w:color="auto" w:fill="E2EFD9" w:themeFill="accent6" w:themeFillTint="33"/>
            <w:vAlign w:val="bottom"/>
          </w:tcPr>
          <w:p w14:paraId="6F41BDFC" w14:textId="2166E7AF"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18.0</w:t>
            </w:r>
          </w:p>
        </w:tc>
        <w:tc>
          <w:tcPr>
            <w:tcW w:w="714" w:type="pct"/>
            <w:shd w:val="clear" w:color="auto" w:fill="FFF2CC" w:themeFill="accent4" w:themeFillTint="33"/>
            <w:vAlign w:val="bottom"/>
          </w:tcPr>
          <w:p w14:paraId="482254FF" w14:textId="4F82A52C"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72.0</w:t>
            </w:r>
          </w:p>
        </w:tc>
        <w:tc>
          <w:tcPr>
            <w:tcW w:w="714" w:type="pct"/>
            <w:shd w:val="clear" w:color="auto" w:fill="FFF2CC" w:themeFill="accent4" w:themeFillTint="33"/>
            <w:vAlign w:val="bottom"/>
          </w:tcPr>
          <w:p w14:paraId="68239C91" w14:textId="5116626F"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18.0</w:t>
            </w:r>
          </w:p>
        </w:tc>
        <w:tc>
          <w:tcPr>
            <w:tcW w:w="714" w:type="pct"/>
            <w:shd w:val="clear" w:color="auto" w:fill="FFE599" w:themeFill="accent4" w:themeFillTint="66"/>
            <w:vAlign w:val="bottom"/>
          </w:tcPr>
          <w:p w14:paraId="393A5007" w14:textId="52FBC256"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90.0</w:t>
            </w:r>
          </w:p>
        </w:tc>
      </w:tr>
      <w:tr w:rsidR="00AA660E" w:rsidRPr="008E7E6B" w14:paraId="4E863A47" w14:textId="77777777" w:rsidTr="002A4ED0">
        <w:tc>
          <w:tcPr>
            <w:tcW w:w="714" w:type="pct"/>
            <w:vAlign w:val="bottom"/>
          </w:tcPr>
          <w:p w14:paraId="279E47E2"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2031</w:t>
            </w:r>
          </w:p>
        </w:tc>
        <w:tc>
          <w:tcPr>
            <w:tcW w:w="714" w:type="pct"/>
            <w:shd w:val="clear" w:color="auto" w:fill="C5E0B3" w:themeFill="accent6" w:themeFillTint="66"/>
            <w:vAlign w:val="center"/>
          </w:tcPr>
          <w:p w14:paraId="7E387826" w14:textId="278F587B" w:rsidR="00AA660E" w:rsidRPr="008E7E6B" w:rsidRDefault="00AA660E" w:rsidP="008E7E6B">
            <w:pPr>
              <w:jc w:val="center"/>
              <w:rPr>
                <w:b/>
                <w:bCs/>
                <w:sz w:val="20"/>
                <w:szCs w:val="20"/>
                <w:lang w:val="en-CA"/>
              </w:rPr>
            </w:pPr>
            <w:r w:rsidRPr="008E7E6B">
              <w:rPr>
                <w:b/>
                <w:bCs/>
                <w:sz w:val="20"/>
                <w:szCs w:val="20"/>
                <w:lang w:val="en-CA"/>
              </w:rPr>
              <w:t>93</w:t>
            </w:r>
          </w:p>
        </w:tc>
        <w:tc>
          <w:tcPr>
            <w:tcW w:w="714" w:type="pct"/>
            <w:shd w:val="clear" w:color="auto" w:fill="E2EFD9" w:themeFill="accent6" w:themeFillTint="33"/>
            <w:vAlign w:val="bottom"/>
          </w:tcPr>
          <w:p w14:paraId="57663BD8" w14:textId="269F1E18"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76.3</w:t>
            </w:r>
          </w:p>
        </w:tc>
        <w:tc>
          <w:tcPr>
            <w:tcW w:w="714" w:type="pct"/>
            <w:shd w:val="clear" w:color="auto" w:fill="E2EFD9" w:themeFill="accent6" w:themeFillTint="33"/>
            <w:vAlign w:val="bottom"/>
          </w:tcPr>
          <w:p w14:paraId="0812B8FF" w14:textId="098D57A4"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16.7</w:t>
            </w:r>
          </w:p>
        </w:tc>
        <w:tc>
          <w:tcPr>
            <w:tcW w:w="714" w:type="pct"/>
            <w:shd w:val="clear" w:color="auto" w:fill="FFF2CC" w:themeFill="accent4" w:themeFillTint="33"/>
            <w:vAlign w:val="bottom"/>
          </w:tcPr>
          <w:p w14:paraId="514FB4D9" w14:textId="43469A06"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76.3</w:t>
            </w:r>
          </w:p>
        </w:tc>
        <w:tc>
          <w:tcPr>
            <w:tcW w:w="714" w:type="pct"/>
            <w:shd w:val="clear" w:color="auto" w:fill="FFF2CC" w:themeFill="accent4" w:themeFillTint="33"/>
            <w:vAlign w:val="bottom"/>
          </w:tcPr>
          <w:p w14:paraId="79D9DB18" w14:textId="521796B4"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16.7</w:t>
            </w:r>
          </w:p>
        </w:tc>
        <w:tc>
          <w:tcPr>
            <w:tcW w:w="714" w:type="pct"/>
            <w:shd w:val="clear" w:color="auto" w:fill="FFE599" w:themeFill="accent4" w:themeFillTint="66"/>
            <w:vAlign w:val="bottom"/>
          </w:tcPr>
          <w:p w14:paraId="35B727FF" w14:textId="3690F188"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93.0</w:t>
            </w:r>
          </w:p>
        </w:tc>
      </w:tr>
      <w:tr w:rsidR="00AA660E" w:rsidRPr="008E7E6B" w14:paraId="5CCD932A" w14:textId="77777777" w:rsidTr="002A4ED0">
        <w:tc>
          <w:tcPr>
            <w:tcW w:w="714" w:type="pct"/>
            <w:vAlign w:val="bottom"/>
          </w:tcPr>
          <w:p w14:paraId="0E768B11"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2032</w:t>
            </w:r>
          </w:p>
        </w:tc>
        <w:tc>
          <w:tcPr>
            <w:tcW w:w="714" w:type="pct"/>
            <w:shd w:val="clear" w:color="auto" w:fill="C5E0B3" w:themeFill="accent6" w:themeFillTint="66"/>
            <w:vAlign w:val="center"/>
          </w:tcPr>
          <w:p w14:paraId="74C1B369" w14:textId="0ED2D618" w:rsidR="00AA660E" w:rsidRPr="008E7E6B" w:rsidRDefault="00AA660E" w:rsidP="008E7E6B">
            <w:pPr>
              <w:jc w:val="center"/>
              <w:rPr>
                <w:b/>
                <w:bCs/>
                <w:sz w:val="20"/>
                <w:szCs w:val="20"/>
                <w:lang w:val="en-CA"/>
              </w:rPr>
            </w:pPr>
            <w:r w:rsidRPr="008E7E6B">
              <w:rPr>
                <w:b/>
                <w:bCs/>
                <w:sz w:val="20"/>
                <w:szCs w:val="20"/>
                <w:lang w:val="en-CA"/>
              </w:rPr>
              <w:t>95</w:t>
            </w:r>
          </w:p>
        </w:tc>
        <w:tc>
          <w:tcPr>
            <w:tcW w:w="714" w:type="pct"/>
            <w:shd w:val="clear" w:color="auto" w:fill="E2EFD9" w:themeFill="accent6" w:themeFillTint="33"/>
            <w:vAlign w:val="bottom"/>
          </w:tcPr>
          <w:p w14:paraId="460CB1BD" w14:textId="2A363534"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79.8</w:t>
            </w:r>
          </w:p>
        </w:tc>
        <w:tc>
          <w:tcPr>
            <w:tcW w:w="714" w:type="pct"/>
            <w:shd w:val="clear" w:color="auto" w:fill="E2EFD9" w:themeFill="accent6" w:themeFillTint="33"/>
            <w:vAlign w:val="bottom"/>
          </w:tcPr>
          <w:p w14:paraId="700B7D65" w14:textId="324FFB0B"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15.2</w:t>
            </w:r>
          </w:p>
        </w:tc>
        <w:tc>
          <w:tcPr>
            <w:tcW w:w="714" w:type="pct"/>
            <w:shd w:val="clear" w:color="auto" w:fill="FFF2CC" w:themeFill="accent4" w:themeFillTint="33"/>
            <w:vAlign w:val="bottom"/>
          </w:tcPr>
          <w:p w14:paraId="03D66E73" w14:textId="67B9A12C"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79.8</w:t>
            </w:r>
          </w:p>
        </w:tc>
        <w:tc>
          <w:tcPr>
            <w:tcW w:w="714" w:type="pct"/>
            <w:shd w:val="clear" w:color="auto" w:fill="FFF2CC" w:themeFill="accent4" w:themeFillTint="33"/>
            <w:vAlign w:val="bottom"/>
          </w:tcPr>
          <w:p w14:paraId="5457F4D6" w14:textId="721D099C"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15.2</w:t>
            </w:r>
          </w:p>
        </w:tc>
        <w:tc>
          <w:tcPr>
            <w:tcW w:w="714" w:type="pct"/>
            <w:shd w:val="clear" w:color="auto" w:fill="FFE599" w:themeFill="accent4" w:themeFillTint="66"/>
            <w:vAlign w:val="bottom"/>
          </w:tcPr>
          <w:p w14:paraId="4D58A563" w14:textId="4322C3FC"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95.0</w:t>
            </w:r>
          </w:p>
        </w:tc>
      </w:tr>
      <w:tr w:rsidR="00AA660E" w:rsidRPr="008E7E6B" w14:paraId="52A036A5" w14:textId="77777777" w:rsidTr="002A4ED0">
        <w:tc>
          <w:tcPr>
            <w:tcW w:w="714" w:type="pct"/>
            <w:vAlign w:val="bottom"/>
          </w:tcPr>
          <w:p w14:paraId="5593A80B"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2033</w:t>
            </w:r>
          </w:p>
        </w:tc>
        <w:tc>
          <w:tcPr>
            <w:tcW w:w="714" w:type="pct"/>
            <w:shd w:val="clear" w:color="auto" w:fill="C5E0B3" w:themeFill="accent6" w:themeFillTint="66"/>
            <w:vAlign w:val="center"/>
          </w:tcPr>
          <w:p w14:paraId="1CA29C85" w14:textId="1B888EB7" w:rsidR="00AA660E" w:rsidRPr="008E7E6B" w:rsidRDefault="00AA660E" w:rsidP="008E7E6B">
            <w:pPr>
              <w:jc w:val="center"/>
              <w:rPr>
                <w:b/>
                <w:bCs/>
                <w:sz w:val="20"/>
                <w:szCs w:val="20"/>
                <w:lang w:val="en-CA"/>
              </w:rPr>
            </w:pPr>
            <w:r w:rsidRPr="008E7E6B">
              <w:rPr>
                <w:b/>
                <w:bCs/>
                <w:sz w:val="20"/>
                <w:szCs w:val="20"/>
                <w:lang w:val="en-CA"/>
              </w:rPr>
              <w:t>97</w:t>
            </w:r>
          </w:p>
        </w:tc>
        <w:tc>
          <w:tcPr>
            <w:tcW w:w="714" w:type="pct"/>
            <w:shd w:val="clear" w:color="auto" w:fill="E2EFD9" w:themeFill="accent6" w:themeFillTint="33"/>
            <w:vAlign w:val="bottom"/>
          </w:tcPr>
          <w:p w14:paraId="255B4AB9" w14:textId="1DE54AD0"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83.4</w:t>
            </w:r>
          </w:p>
        </w:tc>
        <w:tc>
          <w:tcPr>
            <w:tcW w:w="714" w:type="pct"/>
            <w:shd w:val="clear" w:color="auto" w:fill="E2EFD9" w:themeFill="accent6" w:themeFillTint="33"/>
            <w:vAlign w:val="bottom"/>
          </w:tcPr>
          <w:p w14:paraId="3A4E5BB9" w14:textId="76427176"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13.6</w:t>
            </w:r>
          </w:p>
        </w:tc>
        <w:tc>
          <w:tcPr>
            <w:tcW w:w="714" w:type="pct"/>
            <w:shd w:val="clear" w:color="auto" w:fill="FFF2CC" w:themeFill="accent4" w:themeFillTint="33"/>
            <w:vAlign w:val="bottom"/>
          </w:tcPr>
          <w:p w14:paraId="6B218ABE" w14:textId="39F7B98D"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83.4</w:t>
            </w:r>
          </w:p>
        </w:tc>
        <w:tc>
          <w:tcPr>
            <w:tcW w:w="714" w:type="pct"/>
            <w:shd w:val="clear" w:color="auto" w:fill="FFF2CC" w:themeFill="accent4" w:themeFillTint="33"/>
            <w:vAlign w:val="bottom"/>
          </w:tcPr>
          <w:p w14:paraId="00D48041" w14:textId="7087DE6E"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13.6</w:t>
            </w:r>
          </w:p>
        </w:tc>
        <w:tc>
          <w:tcPr>
            <w:tcW w:w="714" w:type="pct"/>
            <w:shd w:val="clear" w:color="auto" w:fill="FFE599" w:themeFill="accent4" w:themeFillTint="66"/>
            <w:vAlign w:val="bottom"/>
          </w:tcPr>
          <w:p w14:paraId="7349005F" w14:textId="62E2DA97"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97.0</w:t>
            </w:r>
          </w:p>
        </w:tc>
      </w:tr>
      <w:tr w:rsidR="00AA660E" w:rsidRPr="008E7E6B" w14:paraId="5554836A" w14:textId="77777777" w:rsidTr="002A4ED0">
        <w:tc>
          <w:tcPr>
            <w:tcW w:w="714" w:type="pct"/>
            <w:vAlign w:val="bottom"/>
          </w:tcPr>
          <w:p w14:paraId="675D402A"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2034</w:t>
            </w:r>
          </w:p>
        </w:tc>
        <w:tc>
          <w:tcPr>
            <w:tcW w:w="714" w:type="pct"/>
            <w:shd w:val="clear" w:color="auto" w:fill="C5E0B3" w:themeFill="accent6" w:themeFillTint="66"/>
            <w:vAlign w:val="center"/>
          </w:tcPr>
          <w:p w14:paraId="7F737E7E" w14:textId="521876B8" w:rsidR="00AA660E" w:rsidRPr="008E7E6B" w:rsidRDefault="00AA660E" w:rsidP="008E7E6B">
            <w:pPr>
              <w:jc w:val="center"/>
              <w:rPr>
                <w:b/>
                <w:bCs/>
                <w:sz w:val="20"/>
                <w:szCs w:val="20"/>
                <w:lang w:val="en-CA"/>
              </w:rPr>
            </w:pPr>
            <w:r w:rsidRPr="008E7E6B">
              <w:rPr>
                <w:b/>
                <w:bCs/>
                <w:sz w:val="20"/>
                <w:szCs w:val="20"/>
                <w:lang w:val="en-CA"/>
              </w:rPr>
              <w:t>99</w:t>
            </w:r>
          </w:p>
        </w:tc>
        <w:tc>
          <w:tcPr>
            <w:tcW w:w="714" w:type="pct"/>
            <w:shd w:val="clear" w:color="auto" w:fill="E2EFD9" w:themeFill="accent6" w:themeFillTint="33"/>
            <w:vAlign w:val="bottom"/>
          </w:tcPr>
          <w:p w14:paraId="0CC8B5EA" w14:textId="1DB69A2F"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87.1</w:t>
            </w:r>
          </w:p>
        </w:tc>
        <w:tc>
          <w:tcPr>
            <w:tcW w:w="714" w:type="pct"/>
            <w:shd w:val="clear" w:color="auto" w:fill="E2EFD9" w:themeFill="accent6" w:themeFillTint="33"/>
            <w:vAlign w:val="bottom"/>
          </w:tcPr>
          <w:p w14:paraId="0AF79B84" w14:textId="6BCEE928"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11.9</w:t>
            </w:r>
          </w:p>
        </w:tc>
        <w:tc>
          <w:tcPr>
            <w:tcW w:w="714" w:type="pct"/>
            <w:shd w:val="clear" w:color="auto" w:fill="FFF2CC" w:themeFill="accent4" w:themeFillTint="33"/>
            <w:vAlign w:val="bottom"/>
          </w:tcPr>
          <w:p w14:paraId="5815D1B2" w14:textId="7F013A3D"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87.1</w:t>
            </w:r>
          </w:p>
        </w:tc>
        <w:tc>
          <w:tcPr>
            <w:tcW w:w="714" w:type="pct"/>
            <w:shd w:val="clear" w:color="auto" w:fill="FFF2CC" w:themeFill="accent4" w:themeFillTint="33"/>
            <w:vAlign w:val="bottom"/>
          </w:tcPr>
          <w:p w14:paraId="581A8316" w14:textId="233A8908"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11.9</w:t>
            </w:r>
          </w:p>
        </w:tc>
        <w:tc>
          <w:tcPr>
            <w:tcW w:w="714" w:type="pct"/>
            <w:shd w:val="clear" w:color="auto" w:fill="FFE599" w:themeFill="accent4" w:themeFillTint="66"/>
            <w:vAlign w:val="bottom"/>
          </w:tcPr>
          <w:p w14:paraId="0C23D2A4" w14:textId="0C005FB1"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99.0</w:t>
            </w:r>
          </w:p>
        </w:tc>
      </w:tr>
      <w:tr w:rsidR="00AA660E" w:rsidRPr="008E7E6B" w14:paraId="43BCBF3A" w14:textId="77777777" w:rsidTr="002A4ED0">
        <w:tc>
          <w:tcPr>
            <w:tcW w:w="714" w:type="pct"/>
            <w:vAlign w:val="bottom"/>
          </w:tcPr>
          <w:p w14:paraId="26426F4C" w14:textId="77777777" w:rsidR="00AA660E" w:rsidRPr="008E7E6B" w:rsidRDefault="00AA660E" w:rsidP="00AA660E">
            <w:pPr>
              <w:rPr>
                <w:sz w:val="20"/>
                <w:szCs w:val="20"/>
                <w:lang w:val="en-CA"/>
              </w:rPr>
            </w:pPr>
            <w:r w:rsidRPr="008E7E6B">
              <w:rPr>
                <w:rFonts w:ascii="Calibri" w:hAnsi="Calibri" w:cs="Calibri"/>
                <w:color w:val="000000"/>
                <w:sz w:val="20"/>
                <w:szCs w:val="20"/>
                <w:lang w:val="en-CA"/>
              </w:rPr>
              <w:t>2035</w:t>
            </w:r>
          </w:p>
        </w:tc>
        <w:tc>
          <w:tcPr>
            <w:tcW w:w="714" w:type="pct"/>
            <w:shd w:val="clear" w:color="auto" w:fill="C5E0B3" w:themeFill="accent6" w:themeFillTint="66"/>
            <w:vAlign w:val="center"/>
          </w:tcPr>
          <w:p w14:paraId="5DB47EC4" w14:textId="77777777"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100</w:t>
            </w:r>
          </w:p>
        </w:tc>
        <w:tc>
          <w:tcPr>
            <w:tcW w:w="714" w:type="pct"/>
            <w:shd w:val="clear" w:color="auto" w:fill="E2EFD9" w:themeFill="accent6" w:themeFillTint="33"/>
            <w:vAlign w:val="bottom"/>
          </w:tcPr>
          <w:p w14:paraId="706FFBF8" w14:textId="1929C076"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90.0</w:t>
            </w:r>
          </w:p>
        </w:tc>
        <w:tc>
          <w:tcPr>
            <w:tcW w:w="714" w:type="pct"/>
            <w:shd w:val="clear" w:color="auto" w:fill="E2EFD9" w:themeFill="accent6" w:themeFillTint="33"/>
            <w:vAlign w:val="bottom"/>
          </w:tcPr>
          <w:p w14:paraId="13223FF9" w14:textId="4F733665"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10.0</w:t>
            </w:r>
          </w:p>
        </w:tc>
        <w:tc>
          <w:tcPr>
            <w:tcW w:w="714" w:type="pct"/>
            <w:shd w:val="clear" w:color="auto" w:fill="FFF2CC" w:themeFill="accent4" w:themeFillTint="33"/>
            <w:vAlign w:val="bottom"/>
          </w:tcPr>
          <w:p w14:paraId="23FCF612" w14:textId="5657A175"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90.0</w:t>
            </w:r>
          </w:p>
        </w:tc>
        <w:tc>
          <w:tcPr>
            <w:tcW w:w="714" w:type="pct"/>
            <w:shd w:val="clear" w:color="auto" w:fill="FFF2CC" w:themeFill="accent4" w:themeFillTint="33"/>
            <w:vAlign w:val="bottom"/>
          </w:tcPr>
          <w:p w14:paraId="3A78D65F" w14:textId="133D45F0" w:rsidR="00AA660E" w:rsidRPr="008E7E6B" w:rsidRDefault="00AA660E" w:rsidP="008E7E6B">
            <w:pPr>
              <w:jc w:val="center"/>
              <w:rPr>
                <w:sz w:val="20"/>
                <w:szCs w:val="20"/>
                <w:lang w:val="en-CA"/>
              </w:rPr>
            </w:pPr>
            <w:r w:rsidRPr="008E7E6B">
              <w:rPr>
                <w:rFonts w:ascii="Calibri" w:hAnsi="Calibri" w:cs="Calibri"/>
                <w:color w:val="000000"/>
                <w:sz w:val="20"/>
                <w:szCs w:val="20"/>
                <w:lang w:val="en-CA"/>
              </w:rPr>
              <w:t>10.0</w:t>
            </w:r>
          </w:p>
        </w:tc>
        <w:tc>
          <w:tcPr>
            <w:tcW w:w="714" w:type="pct"/>
            <w:shd w:val="clear" w:color="auto" w:fill="FFE599" w:themeFill="accent4" w:themeFillTint="66"/>
            <w:vAlign w:val="bottom"/>
          </w:tcPr>
          <w:p w14:paraId="48C4DF71" w14:textId="77777777" w:rsidR="00AA660E" w:rsidRPr="008E7E6B" w:rsidRDefault="00AA660E" w:rsidP="008E7E6B">
            <w:pPr>
              <w:jc w:val="center"/>
              <w:rPr>
                <w:b/>
                <w:bCs/>
                <w:sz w:val="20"/>
                <w:szCs w:val="20"/>
                <w:lang w:val="en-CA"/>
              </w:rPr>
            </w:pPr>
            <w:r w:rsidRPr="008E7E6B">
              <w:rPr>
                <w:rFonts w:ascii="Calibri" w:hAnsi="Calibri" w:cs="Calibri"/>
                <w:b/>
                <w:bCs/>
                <w:color w:val="000000"/>
                <w:sz w:val="20"/>
                <w:szCs w:val="20"/>
                <w:lang w:val="en-CA"/>
              </w:rPr>
              <w:t>100</w:t>
            </w:r>
          </w:p>
        </w:tc>
      </w:tr>
    </w:tbl>
    <w:p w14:paraId="3B00F15B" w14:textId="77777777" w:rsidR="00AB0526" w:rsidRPr="00500BCC" w:rsidRDefault="00AB0526" w:rsidP="00AB0526">
      <w:pPr>
        <w:pStyle w:val="NoSpacing"/>
        <w:rPr>
          <w:sz w:val="16"/>
          <w:szCs w:val="16"/>
          <w:lang w:val="en-CA"/>
        </w:rPr>
      </w:pPr>
      <w:r w:rsidRPr="00500BCC">
        <w:rPr>
          <w:sz w:val="16"/>
          <w:szCs w:val="16"/>
          <w:lang w:val="en-CA"/>
        </w:rPr>
        <w:t xml:space="preserve">NOTES </w:t>
      </w:r>
    </w:p>
    <w:p w14:paraId="2E380F5E" w14:textId="3545D0B4" w:rsidR="00AB0526" w:rsidRPr="00500BCC" w:rsidRDefault="56EC99C2" w:rsidP="00AB0526">
      <w:pPr>
        <w:pStyle w:val="NoSpacing"/>
        <w:tabs>
          <w:tab w:val="left" w:pos="284"/>
        </w:tabs>
        <w:ind w:left="284" w:hanging="284"/>
        <w:rPr>
          <w:sz w:val="16"/>
          <w:szCs w:val="16"/>
          <w:lang w:val="en-CA"/>
        </w:rPr>
      </w:pPr>
      <w:r w:rsidRPr="00500BCC">
        <w:rPr>
          <w:sz w:val="16"/>
          <w:szCs w:val="16"/>
          <w:lang w:val="en-CA"/>
        </w:rPr>
        <w:t xml:space="preserve">(a) </w:t>
      </w:r>
      <w:r w:rsidR="00AB0526" w:rsidRPr="00500BCC">
        <w:rPr>
          <w:lang w:val="en-CA"/>
        </w:rPr>
        <w:tab/>
      </w:r>
      <w:r w:rsidRPr="00500BCC">
        <w:rPr>
          <w:sz w:val="16"/>
          <w:szCs w:val="16"/>
          <w:lang w:val="en-CA"/>
        </w:rPr>
        <w:t>Scenario for BEV share of ZEV sales: 75% in 2026, 77% in 2027, 78% in 2028, 79% in 2029, 80% in 2030 then increasing yearly by 2%, reaching 90% in 2035.</w:t>
      </w:r>
    </w:p>
    <w:p w14:paraId="37B264C9" w14:textId="77777777" w:rsidR="00AB0526" w:rsidRPr="00500BCC" w:rsidRDefault="00AB0526" w:rsidP="00AB0526">
      <w:pPr>
        <w:pStyle w:val="NoSpacing"/>
        <w:tabs>
          <w:tab w:val="left" w:pos="284"/>
        </w:tabs>
        <w:ind w:left="284" w:hanging="284"/>
        <w:rPr>
          <w:sz w:val="16"/>
          <w:szCs w:val="16"/>
          <w:lang w:val="en-CA"/>
        </w:rPr>
      </w:pPr>
      <w:r w:rsidRPr="00500BCC">
        <w:rPr>
          <w:sz w:val="16"/>
          <w:szCs w:val="16"/>
          <w:lang w:val="en-CA"/>
        </w:rPr>
        <w:t xml:space="preserve">(b) </w:t>
      </w:r>
      <w:r w:rsidRPr="00500BCC">
        <w:rPr>
          <w:sz w:val="16"/>
          <w:szCs w:val="16"/>
          <w:lang w:val="en-CA"/>
        </w:rPr>
        <w:tab/>
        <w:t xml:space="preserve">Scenario for PHEV share of ZEV sales: 25% in 2026, 23% in 2027, 22% in 2028, 21% in 2029, 20% in 2030 then decreasing yearly by 2%, leaving 10% in 2035. </w:t>
      </w:r>
    </w:p>
    <w:p w14:paraId="51D1527A" w14:textId="77777777" w:rsidR="00AB0526" w:rsidRPr="00500BCC" w:rsidRDefault="00AB0526" w:rsidP="00AB0526">
      <w:pPr>
        <w:pStyle w:val="NoSpacing"/>
        <w:tabs>
          <w:tab w:val="left" w:pos="284"/>
        </w:tabs>
        <w:ind w:left="284" w:hanging="284"/>
        <w:rPr>
          <w:sz w:val="16"/>
          <w:szCs w:val="16"/>
          <w:lang w:val="en-CA"/>
        </w:rPr>
      </w:pPr>
      <w:r w:rsidRPr="00500BCC">
        <w:rPr>
          <w:sz w:val="16"/>
          <w:szCs w:val="16"/>
          <w:lang w:val="en-CA"/>
        </w:rPr>
        <w:t xml:space="preserve">(c) </w:t>
      </w:r>
      <w:r w:rsidRPr="00500BCC">
        <w:rPr>
          <w:sz w:val="16"/>
          <w:szCs w:val="16"/>
          <w:lang w:val="en-CA"/>
        </w:rPr>
        <w:tab/>
        <w:t>Based on 1 credit per BEV sold.</w:t>
      </w:r>
    </w:p>
    <w:p w14:paraId="6655FBE4" w14:textId="77777777" w:rsidR="00AB0526" w:rsidRPr="00500BCC" w:rsidRDefault="00AB0526" w:rsidP="00AB0526">
      <w:pPr>
        <w:pStyle w:val="NoSpacing"/>
        <w:tabs>
          <w:tab w:val="left" w:pos="284"/>
        </w:tabs>
        <w:ind w:left="284" w:hanging="284"/>
        <w:rPr>
          <w:sz w:val="16"/>
          <w:szCs w:val="16"/>
          <w:lang w:val="en-CA"/>
        </w:rPr>
      </w:pPr>
      <w:r w:rsidRPr="00500BCC">
        <w:rPr>
          <w:sz w:val="16"/>
          <w:szCs w:val="16"/>
          <w:lang w:val="en-CA"/>
        </w:rPr>
        <w:t xml:space="preserve">(d) </w:t>
      </w:r>
      <w:r w:rsidRPr="00500BCC">
        <w:rPr>
          <w:sz w:val="16"/>
          <w:szCs w:val="16"/>
          <w:lang w:val="en-CA"/>
        </w:rPr>
        <w:tab/>
        <w:t xml:space="preserve">Scenario for 2026 is half of PHEV sales counting for 0.75 credit each and half counting for 0,15 credit each; for 2027 and 2028 all PHEV sales counting for 0.75 credit each; after 2029 all PHEV sales counting for 1 credit. </w:t>
      </w:r>
    </w:p>
    <w:p w14:paraId="32E99C9F" w14:textId="6437D9D2" w:rsidR="008E7E6B" w:rsidRDefault="00AB0526" w:rsidP="00411B3C">
      <w:pPr>
        <w:pStyle w:val="NoSpacing"/>
        <w:tabs>
          <w:tab w:val="left" w:pos="284"/>
        </w:tabs>
        <w:ind w:left="284" w:hanging="284"/>
        <w:rPr>
          <w:sz w:val="16"/>
          <w:szCs w:val="16"/>
          <w:lang w:val="en-CA"/>
        </w:rPr>
      </w:pPr>
      <w:r w:rsidRPr="00500BCC">
        <w:rPr>
          <w:sz w:val="16"/>
          <w:szCs w:val="16"/>
          <w:lang w:val="en-CA"/>
        </w:rPr>
        <w:t>(e)</w:t>
      </w:r>
      <w:r w:rsidRPr="00500BCC">
        <w:rPr>
          <w:sz w:val="16"/>
          <w:szCs w:val="16"/>
          <w:lang w:val="en-CA"/>
        </w:rPr>
        <w:tab/>
        <w:t xml:space="preserve">ZEV credit targets necessary to reach ZEV sales targets under the above ZEV market share scenarios for BEVs and PHEVs, credit allowances of the proposed regulations and 2026-2028 PHEV market shares of different electric range categories (16 to 49 km, 50 to 79 </w:t>
      </w:r>
      <w:r w:rsidR="004A2E74" w:rsidRPr="00500BCC">
        <w:rPr>
          <w:sz w:val="16"/>
          <w:szCs w:val="16"/>
          <w:lang w:val="en-CA"/>
        </w:rPr>
        <w:t>km,</w:t>
      </w:r>
      <w:r w:rsidRPr="00500BCC">
        <w:rPr>
          <w:sz w:val="16"/>
          <w:szCs w:val="16"/>
          <w:lang w:val="en-CA"/>
        </w:rPr>
        <w:t xml:space="preserve"> and 80 km or more). </w:t>
      </w:r>
      <w:bookmarkStart w:id="28" w:name="_Compliance_pathways"/>
      <w:bookmarkStart w:id="29" w:name="_Toc128035340"/>
      <w:bookmarkStart w:id="30" w:name="_Toc1394259415"/>
      <w:bookmarkEnd w:id="28"/>
    </w:p>
    <w:p w14:paraId="6528B7D3" w14:textId="77777777" w:rsidR="002129A4" w:rsidRDefault="002129A4" w:rsidP="00411B3C">
      <w:pPr>
        <w:pStyle w:val="NoSpacing"/>
        <w:tabs>
          <w:tab w:val="left" w:pos="284"/>
        </w:tabs>
        <w:ind w:left="284" w:hanging="284"/>
        <w:rPr>
          <w:sz w:val="24"/>
          <w:szCs w:val="24"/>
          <w:lang w:val="en-CA"/>
        </w:rPr>
      </w:pPr>
    </w:p>
    <w:p w14:paraId="393DC17B" w14:textId="77777777" w:rsidR="00231E64" w:rsidRDefault="00231E64" w:rsidP="00411B3C">
      <w:pPr>
        <w:pStyle w:val="NoSpacing"/>
        <w:tabs>
          <w:tab w:val="left" w:pos="284"/>
        </w:tabs>
        <w:ind w:left="284" w:hanging="284"/>
        <w:rPr>
          <w:sz w:val="24"/>
          <w:szCs w:val="24"/>
          <w:lang w:val="en-CA"/>
        </w:rPr>
      </w:pPr>
    </w:p>
    <w:p w14:paraId="34CA9E11" w14:textId="32383F85" w:rsidR="0024331E" w:rsidRPr="00500BCC" w:rsidRDefault="0024331E" w:rsidP="00AC3B57">
      <w:pPr>
        <w:pStyle w:val="Heading3"/>
      </w:pPr>
      <w:bookmarkStart w:id="31" w:name="_Toc129792106"/>
      <w:r w:rsidRPr="00500BCC">
        <w:lastRenderedPageBreak/>
        <w:t>Compliance pathways</w:t>
      </w:r>
      <w:bookmarkEnd w:id="29"/>
      <w:bookmarkEnd w:id="31"/>
      <w:r w:rsidRPr="00500BCC">
        <w:t xml:space="preserve"> </w:t>
      </w:r>
      <w:bookmarkEnd w:id="30"/>
    </w:p>
    <w:p w14:paraId="58691FE3" w14:textId="77777777" w:rsidR="007A7911" w:rsidRPr="00500BCC" w:rsidRDefault="007A7911" w:rsidP="0024331E">
      <w:pPr>
        <w:pStyle w:val="NoSpacing"/>
        <w:rPr>
          <w:b/>
          <w:bCs/>
          <w:lang w:val="en-CA"/>
        </w:rPr>
      </w:pPr>
    </w:p>
    <w:p w14:paraId="2C626A8D" w14:textId="2DDEDA00" w:rsidR="008847CF" w:rsidRPr="00500BCC" w:rsidRDefault="0024331E" w:rsidP="00F5452E">
      <w:pPr>
        <w:pStyle w:val="NoSpacing"/>
        <w:numPr>
          <w:ilvl w:val="0"/>
          <w:numId w:val="25"/>
        </w:numPr>
        <w:rPr>
          <w:b/>
          <w:bCs/>
          <w:lang w:val="en-CA"/>
        </w:rPr>
      </w:pPr>
      <w:r w:rsidRPr="00500BCC">
        <w:rPr>
          <w:b/>
          <w:bCs/>
          <w:lang w:val="en-CA"/>
        </w:rPr>
        <w:t>BEV Sales</w:t>
      </w:r>
      <w:r w:rsidR="002A4C99" w:rsidRPr="00500BCC">
        <w:rPr>
          <w:b/>
          <w:bCs/>
          <w:lang w:val="en-CA"/>
        </w:rPr>
        <w:t xml:space="preserve">: </w:t>
      </w:r>
    </w:p>
    <w:p w14:paraId="595E03AC" w14:textId="77777777" w:rsidR="00E44CDF" w:rsidRPr="00500BCC" w:rsidRDefault="00E44CDF" w:rsidP="00E44CDF">
      <w:pPr>
        <w:pStyle w:val="NoSpacing"/>
        <w:ind w:left="360"/>
        <w:rPr>
          <w:b/>
          <w:bCs/>
          <w:lang w:val="en-CA"/>
        </w:rPr>
      </w:pPr>
    </w:p>
    <w:p w14:paraId="5C1EB65C" w14:textId="3EE9DA24" w:rsidR="0024331E" w:rsidRPr="00500BCC" w:rsidRDefault="004D16E7" w:rsidP="00FF5976">
      <w:pPr>
        <w:pStyle w:val="NoSpacing"/>
        <w:ind w:left="360"/>
        <w:rPr>
          <w:lang w:val="en-CA"/>
        </w:rPr>
      </w:pPr>
      <w:r w:rsidRPr="00500BCC">
        <w:rPr>
          <w:lang w:val="en-CA"/>
        </w:rPr>
        <w:t>EMC</w:t>
      </w:r>
      <w:r w:rsidR="002A4C99" w:rsidRPr="00500BCC">
        <w:rPr>
          <w:lang w:val="en-CA"/>
        </w:rPr>
        <w:t xml:space="preserve"> agree</w:t>
      </w:r>
      <w:r w:rsidR="00017726" w:rsidRPr="00500BCC">
        <w:rPr>
          <w:lang w:val="en-CA"/>
        </w:rPr>
        <w:t>s</w:t>
      </w:r>
      <w:r w:rsidR="002A4C99" w:rsidRPr="00500BCC">
        <w:rPr>
          <w:lang w:val="en-CA"/>
        </w:rPr>
        <w:t xml:space="preserve"> that </w:t>
      </w:r>
      <w:r w:rsidR="00F5452E" w:rsidRPr="00500BCC">
        <w:rPr>
          <w:lang w:val="en-CA"/>
        </w:rPr>
        <w:t xml:space="preserve">1 credit should be awarded for each BEV sold. </w:t>
      </w:r>
    </w:p>
    <w:p w14:paraId="6A01978A" w14:textId="77777777" w:rsidR="0089127D" w:rsidRPr="00500BCC" w:rsidRDefault="0089127D" w:rsidP="0089127D">
      <w:pPr>
        <w:pStyle w:val="NoSpacing"/>
        <w:ind w:left="360"/>
        <w:rPr>
          <w:lang w:val="en-CA"/>
        </w:rPr>
      </w:pPr>
    </w:p>
    <w:p w14:paraId="7BBAB93E" w14:textId="7CFA48B2" w:rsidR="008847CF" w:rsidRPr="00500BCC" w:rsidRDefault="0024331E" w:rsidP="008847CF">
      <w:pPr>
        <w:pStyle w:val="NoSpacing"/>
        <w:numPr>
          <w:ilvl w:val="0"/>
          <w:numId w:val="25"/>
        </w:numPr>
        <w:rPr>
          <w:b/>
          <w:bCs/>
          <w:lang w:val="en-CA"/>
        </w:rPr>
      </w:pPr>
      <w:r w:rsidRPr="00500BCC">
        <w:rPr>
          <w:b/>
          <w:bCs/>
          <w:lang w:val="en-CA"/>
        </w:rPr>
        <w:t>PHEV Sales</w:t>
      </w:r>
      <w:r w:rsidR="00F5452E" w:rsidRPr="00500BCC">
        <w:rPr>
          <w:b/>
          <w:bCs/>
          <w:lang w:val="en-CA"/>
        </w:rPr>
        <w:t xml:space="preserve">: </w:t>
      </w:r>
    </w:p>
    <w:p w14:paraId="28C3C702" w14:textId="77777777" w:rsidR="00E44CDF" w:rsidRPr="00500BCC" w:rsidRDefault="00E44CDF" w:rsidP="00E44CDF">
      <w:pPr>
        <w:pStyle w:val="NoSpacing"/>
        <w:ind w:left="360"/>
        <w:rPr>
          <w:b/>
          <w:bCs/>
          <w:lang w:val="en-CA"/>
        </w:rPr>
      </w:pPr>
    </w:p>
    <w:p w14:paraId="63796D2E" w14:textId="74910D5E" w:rsidR="009757AE" w:rsidRPr="00500BCC" w:rsidRDefault="009757AE" w:rsidP="00FF5976">
      <w:pPr>
        <w:pStyle w:val="NoSpacing"/>
        <w:ind w:left="360"/>
        <w:rPr>
          <w:lang w:val="en-CA"/>
        </w:rPr>
      </w:pPr>
      <w:r w:rsidRPr="00500BCC">
        <w:rPr>
          <w:lang w:val="en-CA"/>
        </w:rPr>
        <w:t xml:space="preserve">EMC recommends that 0.5 credit be awarded for the sale of a PHEV offering at least 80 km of electric range. PHEVs offering 50 to 79 km of range could be awarded 0.25 credit until model year 2028 but PHEVs offering less than 50 km of range should not receive any credits. </w:t>
      </w:r>
    </w:p>
    <w:p w14:paraId="445E6EC7" w14:textId="77777777" w:rsidR="009757AE" w:rsidRPr="00500BCC" w:rsidRDefault="009757AE" w:rsidP="009757AE">
      <w:pPr>
        <w:pStyle w:val="NoSpacing"/>
        <w:ind w:left="360"/>
        <w:rPr>
          <w:lang w:val="en-CA"/>
        </w:rPr>
      </w:pPr>
    </w:p>
    <w:p w14:paraId="75CCA5CD" w14:textId="216F4282" w:rsidR="009757AE" w:rsidRPr="00500BCC" w:rsidRDefault="282D6961" w:rsidP="009757AE">
      <w:pPr>
        <w:pStyle w:val="NoSpacing"/>
        <w:ind w:left="360"/>
        <w:rPr>
          <w:lang w:val="en-CA"/>
        </w:rPr>
      </w:pPr>
      <w:r w:rsidRPr="00500BCC">
        <w:rPr>
          <w:lang w:val="en-CA"/>
        </w:rPr>
        <w:t xml:space="preserve">The declining credit cap should start at 20% and go down to 0% by 2035. According to 2017-2022 data from Statistics Canada, the market share of PHEVs clearly shows a declining trend (see Table </w:t>
      </w:r>
      <w:r w:rsidR="001B53EC">
        <w:rPr>
          <w:lang w:val="en-CA"/>
        </w:rPr>
        <w:t>3</w:t>
      </w:r>
      <w:r w:rsidRPr="00500BCC">
        <w:rPr>
          <w:lang w:val="en-CA"/>
        </w:rPr>
        <w:t>below), with PHEV share sitting at a mere 21% in 2022. A cap set at anything higher may artificially favo</w:t>
      </w:r>
      <w:r w:rsidR="00E34060">
        <w:rPr>
          <w:lang w:val="en-CA"/>
        </w:rPr>
        <w:t>u</w:t>
      </w:r>
      <w:r w:rsidRPr="00500BCC">
        <w:rPr>
          <w:lang w:val="en-CA"/>
        </w:rPr>
        <w:t xml:space="preserve">r PHEVs and this may result in an insufficient BEV supply to meet the growing demand for these models, especially if gasoline prices continue to rise. </w:t>
      </w:r>
    </w:p>
    <w:p w14:paraId="47019DB0" w14:textId="77777777" w:rsidR="009757AE" w:rsidRPr="00500BCC" w:rsidRDefault="009757AE" w:rsidP="009757AE">
      <w:pPr>
        <w:pStyle w:val="NoSpacing"/>
        <w:ind w:left="360"/>
        <w:rPr>
          <w:lang w:val="en-CA"/>
        </w:rPr>
      </w:pPr>
    </w:p>
    <w:p w14:paraId="240B384A" w14:textId="6365D120" w:rsidR="00CC4CDD" w:rsidRPr="00500BCC" w:rsidRDefault="009757AE" w:rsidP="009757AE">
      <w:pPr>
        <w:pStyle w:val="NoSpacing"/>
        <w:ind w:left="360"/>
        <w:rPr>
          <w:b/>
          <w:bCs/>
          <w:lang w:val="en-CA"/>
        </w:rPr>
      </w:pPr>
      <w:r w:rsidRPr="00500BCC">
        <w:rPr>
          <w:b/>
          <w:bCs/>
          <w:lang w:val="en-CA"/>
        </w:rPr>
        <w:t xml:space="preserve">TABLE </w:t>
      </w:r>
      <w:r w:rsidR="00263819" w:rsidRPr="00500BCC">
        <w:rPr>
          <w:b/>
          <w:bCs/>
          <w:lang w:val="en-CA"/>
        </w:rPr>
        <w:t>3</w:t>
      </w:r>
      <w:r w:rsidRPr="00500BCC">
        <w:rPr>
          <w:b/>
          <w:bCs/>
          <w:lang w:val="en-CA"/>
        </w:rPr>
        <w:t>: New motor vehicle registrations in Canada</w:t>
      </w:r>
      <w:r w:rsidR="00CC4CDD" w:rsidRPr="00500BCC">
        <w:rPr>
          <w:rStyle w:val="FootnoteReference"/>
          <w:b/>
          <w:bCs/>
          <w:lang w:val="en-CA"/>
        </w:rPr>
        <w:footnoteReference w:id="8"/>
      </w:r>
    </w:p>
    <w:tbl>
      <w:tblPr>
        <w:tblW w:w="9800"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1143"/>
        <w:gridCol w:w="2885"/>
        <w:gridCol w:w="2885"/>
        <w:gridCol w:w="2887"/>
      </w:tblGrid>
      <w:tr w:rsidR="009757AE" w:rsidRPr="00500BCC" w14:paraId="53285455" w14:textId="77777777" w:rsidTr="002A4ED0">
        <w:trPr>
          <w:trHeight w:val="256"/>
        </w:trPr>
        <w:tc>
          <w:tcPr>
            <w:tcW w:w="1143" w:type="dxa"/>
            <w:shd w:val="clear" w:color="auto" w:fill="C5DFB3"/>
          </w:tcPr>
          <w:p w14:paraId="5D7B3012" w14:textId="77777777" w:rsidR="009757AE" w:rsidRPr="00500BCC" w:rsidRDefault="009757AE">
            <w:pPr>
              <w:pStyle w:val="TableParagraph"/>
              <w:kinsoku w:val="0"/>
              <w:overflowPunct w:val="0"/>
              <w:spacing w:before="8" w:line="228" w:lineRule="exact"/>
              <w:ind w:left="145" w:right="136"/>
              <w:rPr>
                <w:b/>
                <w:bCs/>
                <w:spacing w:val="-2"/>
                <w:w w:val="110"/>
                <w:sz w:val="20"/>
                <w:szCs w:val="20"/>
                <w:lang w:val="en-CA"/>
              </w:rPr>
            </w:pPr>
            <w:r w:rsidRPr="00500BCC">
              <w:rPr>
                <w:b/>
                <w:bCs/>
                <w:spacing w:val="-2"/>
                <w:w w:val="110"/>
                <w:sz w:val="20"/>
                <w:szCs w:val="20"/>
                <w:lang w:val="en-CA"/>
              </w:rPr>
              <w:t>YEAR</w:t>
            </w:r>
          </w:p>
        </w:tc>
        <w:tc>
          <w:tcPr>
            <w:tcW w:w="2885" w:type="dxa"/>
            <w:shd w:val="clear" w:color="auto" w:fill="C5DFB3"/>
          </w:tcPr>
          <w:p w14:paraId="59EFFD6D" w14:textId="77777777" w:rsidR="009757AE" w:rsidRPr="00500BCC" w:rsidRDefault="009757AE">
            <w:pPr>
              <w:pStyle w:val="TableParagraph"/>
              <w:kinsoku w:val="0"/>
              <w:overflowPunct w:val="0"/>
              <w:spacing w:before="3" w:line="233" w:lineRule="exact"/>
              <w:ind w:left="1119" w:right="1113"/>
              <w:rPr>
                <w:b/>
                <w:bCs/>
                <w:spacing w:val="-5"/>
                <w:w w:val="115"/>
                <w:sz w:val="20"/>
                <w:szCs w:val="20"/>
                <w:lang w:val="en-CA"/>
              </w:rPr>
            </w:pPr>
            <w:r w:rsidRPr="00500BCC">
              <w:rPr>
                <w:b/>
                <w:bCs/>
                <w:spacing w:val="-5"/>
                <w:w w:val="115"/>
                <w:sz w:val="20"/>
                <w:szCs w:val="20"/>
                <w:lang w:val="en-CA"/>
              </w:rPr>
              <w:t>BEVs</w:t>
            </w:r>
          </w:p>
        </w:tc>
        <w:tc>
          <w:tcPr>
            <w:tcW w:w="2885" w:type="dxa"/>
            <w:shd w:val="clear" w:color="auto" w:fill="C5DFB3"/>
          </w:tcPr>
          <w:p w14:paraId="66DA2519" w14:textId="77777777" w:rsidR="009757AE" w:rsidRPr="00500BCC" w:rsidRDefault="009757AE">
            <w:pPr>
              <w:pStyle w:val="TableParagraph"/>
              <w:kinsoku w:val="0"/>
              <w:overflowPunct w:val="0"/>
              <w:spacing w:before="3" w:line="233" w:lineRule="exact"/>
              <w:ind w:left="1120" w:right="1113"/>
              <w:rPr>
                <w:b/>
                <w:bCs/>
                <w:spacing w:val="-5"/>
                <w:w w:val="110"/>
                <w:sz w:val="20"/>
                <w:szCs w:val="20"/>
                <w:lang w:val="en-CA"/>
              </w:rPr>
            </w:pPr>
            <w:r w:rsidRPr="00500BCC">
              <w:rPr>
                <w:b/>
                <w:bCs/>
                <w:spacing w:val="-5"/>
                <w:w w:val="110"/>
                <w:sz w:val="20"/>
                <w:szCs w:val="20"/>
                <w:lang w:val="en-CA"/>
              </w:rPr>
              <w:t>PHEVs</w:t>
            </w:r>
          </w:p>
        </w:tc>
        <w:tc>
          <w:tcPr>
            <w:tcW w:w="2887" w:type="dxa"/>
            <w:shd w:val="clear" w:color="auto" w:fill="C5DFB3"/>
          </w:tcPr>
          <w:p w14:paraId="59CE1C81" w14:textId="77777777" w:rsidR="009757AE" w:rsidRPr="00500BCC" w:rsidRDefault="009757AE">
            <w:pPr>
              <w:pStyle w:val="TableParagraph"/>
              <w:kinsoku w:val="0"/>
              <w:overflowPunct w:val="0"/>
              <w:spacing w:before="3" w:line="233" w:lineRule="exact"/>
              <w:ind w:left="851" w:right="844"/>
              <w:rPr>
                <w:b/>
                <w:bCs/>
                <w:spacing w:val="-5"/>
                <w:w w:val="110"/>
                <w:sz w:val="20"/>
                <w:szCs w:val="20"/>
                <w:lang w:val="en-CA"/>
              </w:rPr>
            </w:pPr>
            <w:r w:rsidRPr="00500BCC">
              <w:rPr>
                <w:b/>
                <w:bCs/>
                <w:w w:val="110"/>
                <w:sz w:val="20"/>
                <w:szCs w:val="20"/>
                <w:lang w:val="en-CA"/>
              </w:rPr>
              <w:t xml:space="preserve">PHEV </w:t>
            </w:r>
            <w:r w:rsidR="714C69B3" w:rsidRPr="00500BCC">
              <w:rPr>
                <w:b/>
                <w:bCs/>
                <w:w w:val="110"/>
                <w:sz w:val="20"/>
                <w:szCs w:val="20"/>
                <w:lang w:val="en-CA"/>
              </w:rPr>
              <w:t>Share</w:t>
            </w:r>
          </w:p>
        </w:tc>
      </w:tr>
      <w:tr w:rsidR="009757AE" w:rsidRPr="00500BCC" w14:paraId="4CBAC678" w14:textId="77777777" w:rsidTr="002A4ED0">
        <w:trPr>
          <w:trHeight w:val="242"/>
        </w:trPr>
        <w:tc>
          <w:tcPr>
            <w:tcW w:w="1143" w:type="dxa"/>
          </w:tcPr>
          <w:p w14:paraId="4D38280E" w14:textId="4F85A04F" w:rsidR="009757AE" w:rsidRPr="00500BCC" w:rsidRDefault="009757AE">
            <w:pPr>
              <w:pStyle w:val="TableParagraph"/>
              <w:kinsoku w:val="0"/>
              <w:overflowPunct w:val="0"/>
              <w:ind w:left="145" w:right="136"/>
              <w:rPr>
                <w:spacing w:val="-5"/>
                <w:w w:val="110"/>
                <w:sz w:val="20"/>
                <w:szCs w:val="20"/>
                <w:lang w:val="en-CA"/>
              </w:rPr>
            </w:pPr>
            <w:r w:rsidRPr="00500BCC">
              <w:rPr>
                <w:w w:val="110"/>
                <w:sz w:val="20"/>
                <w:szCs w:val="20"/>
                <w:lang w:val="en-CA"/>
              </w:rPr>
              <w:t>2022</w:t>
            </w:r>
            <w:r w:rsidR="412964D7" w:rsidRPr="00500BCC">
              <w:rPr>
                <w:w w:val="110"/>
                <w:sz w:val="20"/>
                <w:szCs w:val="20"/>
                <w:lang w:val="en-CA"/>
              </w:rPr>
              <w:t>*</w:t>
            </w:r>
          </w:p>
        </w:tc>
        <w:tc>
          <w:tcPr>
            <w:tcW w:w="2885" w:type="dxa"/>
            <w:vAlign w:val="center"/>
          </w:tcPr>
          <w:p w14:paraId="7E657F7E"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70,835 </w:t>
            </w:r>
          </w:p>
        </w:tc>
        <w:tc>
          <w:tcPr>
            <w:tcW w:w="2885" w:type="dxa"/>
            <w:vAlign w:val="center"/>
          </w:tcPr>
          <w:p w14:paraId="16D8FFE2"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19,328 </w:t>
            </w:r>
          </w:p>
        </w:tc>
        <w:tc>
          <w:tcPr>
            <w:tcW w:w="2887" w:type="dxa"/>
            <w:vAlign w:val="center"/>
          </w:tcPr>
          <w:p w14:paraId="1DDD455D" w14:textId="77777777" w:rsidR="009757AE" w:rsidRPr="00500BCC" w:rsidRDefault="009757AE">
            <w:pPr>
              <w:pStyle w:val="TableParagraph"/>
              <w:kinsoku w:val="0"/>
              <w:overflowPunct w:val="0"/>
              <w:ind w:left="851" w:right="843"/>
              <w:rPr>
                <w:spacing w:val="-5"/>
                <w:w w:val="115"/>
                <w:sz w:val="20"/>
                <w:szCs w:val="20"/>
                <w:lang w:val="en-CA"/>
              </w:rPr>
            </w:pPr>
            <w:r w:rsidRPr="00500BCC">
              <w:rPr>
                <w:color w:val="000000"/>
                <w:spacing w:val="-5"/>
                <w:w w:val="115"/>
                <w:sz w:val="20"/>
                <w:szCs w:val="20"/>
                <w:lang w:val="en-CA"/>
              </w:rPr>
              <w:t>21%</w:t>
            </w:r>
          </w:p>
        </w:tc>
      </w:tr>
      <w:tr w:rsidR="009757AE" w:rsidRPr="00500BCC" w14:paraId="44318D4C" w14:textId="77777777" w:rsidTr="002A4ED0">
        <w:trPr>
          <w:trHeight w:val="241"/>
        </w:trPr>
        <w:tc>
          <w:tcPr>
            <w:tcW w:w="1143" w:type="dxa"/>
          </w:tcPr>
          <w:p w14:paraId="345CC096" w14:textId="77777777" w:rsidR="009757AE" w:rsidRPr="00500BCC" w:rsidRDefault="009757AE">
            <w:pPr>
              <w:pStyle w:val="TableParagraph"/>
              <w:kinsoku w:val="0"/>
              <w:overflowPunct w:val="0"/>
              <w:ind w:left="145" w:right="134"/>
              <w:rPr>
                <w:spacing w:val="-4"/>
                <w:w w:val="110"/>
                <w:sz w:val="20"/>
                <w:szCs w:val="20"/>
                <w:lang w:val="en-CA"/>
              </w:rPr>
            </w:pPr>
            <w:r w:rsidRPr="00500BCC">
              <w:rPr>
                <w:spacing w:val="-4"/>
                <w:w w:val="110"/>
                <w:sz w:val="20"/>
                <w:szCs w:val="20"/>
                <w:lang w:val="en-CA"/>
              </w:rPr>
              <w:t>2021</w:t>
            </w:r>
          </w:p>
        </w:tc>
        <w:tc>
          <w:tcPr>
            <w:tcW w:w="2885" w:type="dxa"/>
            <w:vAlign w:val="center"/>
          </w:tcPr>
          <w:p w14:paraId="65550FE9"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58,726 </w:t>
            </w:r>
          </w:p>
        </w:tc>
        <w:tc>
          <w:tcPr>
            <w:tcW w:w="2885" w:type="dxa"/>
            <w:vAlign w:val="center"/>
          </w:tcPr>
          <w:p w14:paraId="0B503A2F"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27,306 </w:t>
            </w:r>
          </w:p>
        </w:tc>
        <w:tc>
          <w:tcPr>
            <w:tcW w:w="2887" w:type="dxa"/>
            <w:vAlign w:val="center"/>
          </w:tcPr>
          <w:p w14:paraId="1FD4DD11" w14:textId="77777777" w:rsidR="009757AE" w:rsidRPr="00500BCC" w:rsidRDefault="009757AE">
            <w:pPr>
              <w:pStyle w:val="TableParagraph"/>
              <w:kinsoku w:val="0"/>
              <w:overflowPunct w:val="0"/>
              <w:ind w:left="851" w:right="843"/>
              <w:rPr>
                <w:spacing w:val="-5"/>
                <w:w w:val="115"/>
                <w:sz w:val="20"/>
                <w:szCs w:val="20"/>
                <w:lang w:val="en-CA"/>
              </w:rPr>
            </w:pPr>
            <w:r w:rsidRPr="00500BCC">
              <w:rPr>
                <w:color w:val="000000"/>
                <w:spacing w:val="-5"/>
                <w:w w:val="115"/>
                <w:sz w:val="20"/>
                <w:szCs w:val="20"/>
                <w:lang w:val="en-CA"/>
              </w:rPr>
              <w:t>32%</w:t>
            </w:r>
          </w:p>
        </w:tc>
      </w:tr>
      <w:tr w:rsidR="009757AE" w:rsidRPr="00500BCC" w14:paraId="30D84FD0" w14:textId="77777777" w:rsidTr="002A4ED0">
        <w:trPr>
          <w:trHeight w:val="244"/>
        </w:trPr>
        <w:tc>
          <w:tcPr>
            <w:tcW w:w="1143" w:type="dxa"/>
          </w:tcPr>
          <w:p w14:paraId="3C067852" w14:textId="77777777" w:rsidR="009757AE" w:rsidRPr="00500BCC" w:rsidRDefault="009757AE">
            <w:pPr>
              <w:pStyle w:val="TableParagraph"/>
              <w:kinsoku w:val="0"/>
              <w:overflowPunct w:val="0"/>
              <w:spacing w:line="223" w:lineRule="exact"/>
              <w:ind w:left="145" w:right="134"/>
              <w:rPr>
                <w:spacing w:val="-4"/>
                <w:w w:val="110"/>
                <w:sz w:val="20"/>
                <w:szCs w:val="20"/>
                <w:lang w:val="en-CA"/>
              </w:rPr>
            </w:pPr>
            <w:r w:rsidRPr="00500BCC">
              <w:rPr>
                <w:spacing w:val="-4"/>
                <w:w w:val="110"/>
                <w:sz w:val="20"/>
                <w:szCs w:val="20"/>
                <w:lang w:val="en-CA"/>
              </w:rPr>
              <w:t>2020</w:t>
            </w:r>
          </w:p>
        </w:tc>
        <w:tc>
          <w:tcPr>
            <w:tcW w:w="2885" w:type="dxa"/>
            <w:vAlign w:val="center"/>
          </w:tcPr>
          <w:p w14:paraId="5F42C837" w14:textId="77777777" w:rsidR="009757AE" w:rsidRPr="00500BCC" w:rsidRDefault="009757AE">
            <w:pPr>
              <w:pStyle w:val="TableParagraph"/>
              <w:kinsoku w:val="0"/>
              <w:overflowPunct w:val="0"/>
              <w:spacing w:line="223" w:lineRule="exact"/>
              <w:ind w:left="1123" w:right="1113"/>
              <w:rPr>
                <w:spacing w:val="-5"/>
                <w:w w:val="110"/>
                <w:sz w:val="20"/>
                <w:szCs w:val="20"/>
                <w:lang w:val="en-CA"/>
              </w:rPr>
            </w:pPr>
            <w:r w:rsidRPr="00500BCC">
              <w:rPr>
                <w:color w:val="000000"/>
                <w:spacing w:val="-5"/>
                <w:w w:val="110"/>
                <w:sz w:val="20"/>
                <w:szCs w:val="20"/>
                <w:lang w:val="en-CA"/>
              </w:rPr>
              <w:t xml:space="preserve">39,036 </w:t>
            </w:r>
          </w:p>
        </w:tc>
        <w:tc>
          <w:tcPr>
            <w:tcW w:w="2885" w:type="dxa"/>
            <w:vAlign w:val="center"/>
          </w:tcPr>
          <w:p w14:paraId="2007CB70" w14:textId="77777777" w:rsidR="009757AE" w:rsidRPr="00500BCC" w:rsidRDefault="009757AE">
            <w:pPr>
              <w:pStyle w:val="TableParagraph"/>
              <w:kinsoku w:val="0"/>
              <w:overflowPunct w:val="0"/>
              <w:spacing w:line="223" w:lineRule="exact"/>
              <w:ind w:left="1123" w:right="1113"/>
              <w:rPr>
                <w:spacing w:val="-5"/>
                <w:w w:val="110"/>
                <w:sz w:val="20"/>
                <w:szCs w:val="20"/>
                <w:lang w:val="en-CA"/>
              </w:rPr>
            </w:pPr>
            <w:r w:rsidRPr="00500BCC">
              <w:rPr>
                <w:color w:val="000000"/>
                <w:spacing w:val="-5"/>
                <w:w w:val="110"/>
                <w:sz w:val="20"/>
                <w:szCs w:val="20"/>
                <w:lang w:val="en-CA"/>
              </w:rPr>
              <w:t xml:space="preserve">15,317 </w:t>
            </w:r>
          </w:p>
        </w:tc>
        <w:tc>
          <w:tcPr>
            <w:tcW w:w="2887" w:type="dxa"/>
            <w:vAlign w:val="center"/>
          </w:tcPr>
          <w:p w14:paraId="661438EA" w14:textId="77777777" w:rsidR="009757AE" w:rsidRPr="00500BCC" w:rsidRDefault="009757AE">
            <w:pPr>
              <w:pStyle w:val="TableParagraph"/>
              <w:kinsoku w:val="0"/>
              <w:overflowPunct w:val="0"/>
              <w:spacing w:line="223" w:lineRule="exact"/>
              <w:ind w:left="851" w:right="843"/>
              <w:rPr>
                <w:spacing w:val="-5"/>
                <w:w w:val="115"/>
                <w:sz w:val="20"/>
                <w:szCs w:val="20"/>
                <w:lang w:val="en-CA"/>
              </w:rPr>
            </w:pPr>
            <w:r w:rsidRPr="00500BCC">
              <w:rPr>
                <w:color w:val="000000"/>
                <w:spacing w:val="-5"/>
                <w:w w:val="115"/>
                <w:sz w:val="20"/>
                <w:szCs w:val="20"/>
                <w:lang w:val="en-CA"/>
              </w:rPr>
              <w:t>28%</w:t>
            </w:r>
          </w:p>
        </w:tc>
      </w:tr>
      <w:tr w:rsidR="009757AE" w:rsidRPr="00500BCC" w14:paraId="38D21E5E" w14:textId="77777777" w:rsidTr="002A4ED0">
        <w:trPr>
          <w:trHeight w:val="241"/>
        </w:trPr>
        <w:tc>
          <w:tcPr>
            <w:tcW w:w="1143" w:type="dxa"/>
          </w:tcPr>
          <w:p w14:paraId="757A9A21" w14:textId="77777777" w:rsidR="009757AE" w:rsidRPr="00500BCC" w:rsidRDefault="009757AE">
            <w:pPr>
              <w:pStyle w:val="TableParagraph"/>
              <w:kinsoku w:val="0"/>
              <w:overflowPunct w:val="0"/>
              <w:ind w:left="145" w:right="134"/>
              <w:rPr>
                <w:spacing w:val="-4"/>
                <w:w w:val="110"/>
                <w:sz w:val="20"/>
                <w:szCs w:val="20"/>
                <w:lang w:val="en-CA"/>
              </w:rPr>
            </w:pPr>
            <w:r w:rsidRPr="00500BCC">
              <w:rPr>
                <w:spacing w:val="-4"/>
                <w:w w:val="110"/>
                <w:sz w:val="20"/>
                <w:szCs w:val="20"/>
                <w:lang w:val="en-CA"/>
              </w:rPr>
              <w:t>2019</w:t>
            </w:r>
          </w:p>
        </w:tc>
        <w:tc>
          <w:tcPr>
            <w:tcW w:w="2885" w:type="dxa"/>
            <w:vAlign w:val="center"/>
          </w:tcPr>
          <w:p w14:paraId="7B77CD56"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35,523 </w:t>
            </w:r>
          </w:p>
        </w:tc>
        <w:tc>
          <w:tcPr>
            <w:tcW w:w="2885" w:type="dxa"/>
            <w:vAlign w:val="center"/>
          </w:tcPr>
          <w:p w14:paraId="3E0D4511"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20,642 </w:t>
            </w:r>
          </w:p>
        </w:tc>
        <w:tc>
          <w:tcPr>
            <w:tcW w:w="2887" w:type="dxa"/>
            <w:vAlign w:val="center"/>
          </w:tcPr>
          <w:p w14:paraId="1E1F7B83" w14:textId="77777777" w:rsidR="009757AE" w:rsidRPr="00500BCC" w:rsidRDefault="009757AE">
            <w:pPr>
              <w:pStyle w:val="TableParagraph"/>
              <w:kinsoku w:val="0"/>
              <w:overflowPunct w:val="0"/>
              <w:ind w:left="851" w:right="843"/>
              <w:rPr>
                <w:spacing w:val="-5"/>
                <w:w w:val="115"/>
                <w:sz w:val="20"/>
                <w:szCs w:val="20"/>
                <w:lang w:val="en-CA"/>
              </w:rPr>
            </w:pPr>
            <w:r w:rsidRPr="00500BCC">
              <w:rPr>
                <w:color w:val="000000"/>
                <w:spacing w:val="-5"/>
                <w:w w:val="115"/>
                <w:sz w:val="20"/>
                <w:szCs w:val="20"/>
                <w:lang w:val="en-CA"/>
              </w:rPr>
              <w:t>37%</w:t>
            </w:r>
          </w:p>
        </w:tc>
      </w:tr>
      <w:tr w:rsidR="009757AE" w:rsidRPr="00500BCC" w14:paraId="0B89F0E8" w14:textId="77777777" w:rsidTr="002A4ED0">
        <w:trPr>
          <w:trHeight w:val="242"/>
        </w:trPr>
        <w:tc>
          <w:tcPr>
            <w:tcW w:w="1143" w:type="dxa"/>
          </w:tcPr>
          <w:p w14:paraId="6FE3C474" w14:textId="77777777" w:rsidR="009757AE" w:rsidRPr="00500BCC" w:rsidRDefault="009757AE">
            <w:pPr>
              <w:pStyle w:val="TableParagraph"/>
              <w:kinsoku w:val="0"/>
              <w:overflowPunct w:val="0"/>
              <w:ind w:left="145" w:right="134"/>
              <w:rPr>
                <w:spacing w:val="-4"/>
                <w:w w:val="110"/>
                <w:sz w:val="20"/>
                <w:szCs w:val="20"/>
                <w:lang w:val="en-CA"/>
              </w:rPr>
            </w:pPr>
            <w:r w:rsidRPr="00500BCC">
              <w:rPr>
                <w:spacing w:val="-4"/>
                <w:w w:val="110"/>
                <w:sz w:val="20"/>
                <w:szCs w:val="20"/>
                <w:lang w:val="en-CA"/>
              </w:rPr>
              <w:t>2018</w:t>
            </w:r>
          </w:p>
        </w:tc>
        <w:tc>
          <w:tcPr>
            <w:tcW w:w="2885" w:type="dxa"/>
            <w:vAlign w:val="center"/>
          </w:tcPr>
          <w:p w14:paraId="0FF47AD9"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22,570 </w:t>
            </w:r>
          </w:p>
        </w:tc>
        <w:tc>
          <w:tcPr>
            <w:tcW w:w="2885" w:type="dxa"/>
            <w:vAlign w:val="center"/>
          </w:tcPr>
          <w:p w14:paraId="31198F1B"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21,713 </w:t>
            </w:r>
          </w:p>
        </w:tc>
        <w:tc>
          <w:tcPr>
            <w:tcW w:w="2887" w:type="dxa"/>
            <w:vAlign w:val="center"/>
          </w:tcPr>
          <w:p w14:paraId="3C93C218" w14:textId="77777777" w:rsidR="009757AE" w:rsidRPr="00500BCC" w:rsidRDefault="009757AE">
            <w:pPr>
              <w:pStyle w:val="TableParagraph"/>
              <w:kinsoku w:val="0"/>
              <w:overflowPunct w:val="0"/>
              <w:ind w:left="851" w:right="843"/>
              <w:rPr>
                <w:spacing w:val="-5"/>
                <w:w w:val="115"/>
                <w:sz w:val="20"/>
                <w:szCs w:val="20"/>
                <w:lang w:val="en-CA"/>
              </w:rPr>
            </w:pPr>
            <w:r w:rsidRPr="00500BCC">
              <w:rPr>
                <w:color w:val="000000"/>
                <w:spacing w:val="-5"/>
                <w:w w:val="115"/>
                <w:sz w:val="20"/>
                <w:szCs w:val="20"/>
                <w:lang w:val="en-CA"/>
              </w:rPr>
              <w:t>49%</w:t>
            </w:r>
          </w:p>
        </w:tc>
      </w:tr>
      <w:tr w:rsidR="009757AE" w:rsidRPr="00500BCC" w14:paraId="5527E1B5" w14:textId="77777777" w:rsidTr="002A4ED0">
        <w:trPr>
          <w:trHeight w:val="241"/>
        </w:trPr>
        <w:tc>
          <w:tcPr>
            <w:tcW w:w="1143" w:type="dxa"/>
          </w:tcPr>
          <w:p w14:paraId="45EBB41F" w14:textId="77777777" w:rsidR="009757AE" w:rsidRPr="00500BCC" w:rsidRDefault="009757AE">
            <w:pPr>
              <w:pStyle w:val="TableParagraph"/>
              <w:kinsoku w:val="0"/>
              <w:overflowPunct w:val="0"/>
              <w:ind w:left="145" w:right="134"/>
              <w:rPr>
                <w:spacing w:val="-4"/>
                <w:w w:val="110"/>
                <w:sz w:val="20"/>
                <w:szCs w:val="20"/>
                <w:lang w:val="en-CA"/>
              </w:rPr>
            </w:pPr>
            <w:r w:rsidRPr="00500BCC">
              <w:rPr>
                <w:spacing w:val="-4"/>
                <w:w w:val="110"/>
                <w:sz w:val="20"/>
                <w:szCs w:val="20"/>
                <w:lang w:val="en-CA"/>
              </w:rPr>
              <w:t>2017</w:t>
            </w:r>
          </w:p>
        </w:tc>
        <w:tc>
          <w:tcPr>
            <w:tcW w:w="2885" w:type="dxa"/>
            <w:vAlign w:val="center"/>
          </w:tcPr>
          <w:p w14:paraId="7E69D9CE"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9,079 </w:t>
            </w:r>
          </w:p>
        </w:tc>
        <w:tc>
          <w:tcPr>
            <w:tcW w:w="2885" w:type="dxa"/>
            <w:vAlign w:val="center"/>
          </w:tcPr>
          <w:p w14:paraId="3DD5BE27" w14:textId="77777777" w:rsidR="009757AE" w:rsidRPr="00500BCC" w:rsidRDefault="009757AE">
            <w:pPr>
              <w:pStyle w:val="TableParagraph"/>
              <w:kinsoku w:val="0"/>
              <w:overflowPunct w:val="0"/>
              <w:ind w:left="1123" w:right="1113"/>
              <w:rPr>
                <w:spacing w:val="-5"/>
                <w:w w:val="110"/>
                <w:sz w:val="20"/>
                <w:szCs w:val="20"/>
                <w:lang w:val="en-CA"/>
              </w:rPr>
            </w:pPr>
            <w:r w:rsidRPr="00500BCC">
              <w:rPr>
                <w:color w:val="000000"/>
                <w:spacing w:val="-5"/>
                <w:w w:val="110"/>
                <w:sz w:val="20"/>
                <w:szCs w:val="20"/>
                <w:lang w:val="en-CA"/>
              </w:rPr>
              <w:t xml:space="preserve">10,617 </w:t>
            </w:r>
          </w:p>
        </w:tc>
        <w:tc>
          <w:tcPr>
            <w:tcW w:w="2887" w:type="dxa"/>
            <w:vAlign w:val="center"/>
          </w:tcPr>
          <w:p w14:paraId="4BECC3FF" w14:textId="77777777" w:rsidR="009757AE" w:rsidRPr="00500BCC" w:rsidRDefault="009757AE">
            <w:pPr>
              <w:pStyle w:val="TableParagraph"/>
              <w:kinsoku w:val="0"/>
              <w:overflowPunct w:val="0"/>
              <w:ind w:left="851" w:right="843"/>
              <w:rPr>
                <w:spacing w:val="-5"/>
                <w:w w:val="115"/>
                <w:sz w:val="20"/>
                <w:szCs w:val="20"/>
                <w:lang w:val="en-CA"/>
              </w:rPr>
            </w:pPr>
            <w:r w:rsidRPr="00500BCC">
              <w:rPr>
                <w:color w:val="000000"/>
                <w:spacing w:val="-5"/>
                <w:w w:val="115"/>
                <w:sz w:val="20"/>
                <w:szCs w:val="20"/>
                <w:lang w:val="en-CA"/>
              </w:rPr>
              <w:t>54%</w:t>
            </w:r>
          </w:p>
        </w:tc>
      </w:tr>
    </w:tbl>
    <w:p w14:paraId="760AAEF3" w14:textId="664A4ABB" w:rsidR="009757AE" w:rsidRPr="00500BCC" w:rsidRDefault="00AB215E" w:rsidP="00AB215E">
      <w:pPr>
        <w:pStyle w:val="NoSpacing"/>
        <w:ind w:left="360"/>
        <w:rPr>
          <w:sz w:val="18"/>
          <w:szCs w:val="18"/>
          <w:lang w:val="en-CA"/>
        </w:rPr>
      </w:pPr>
      <w:r w:rsidRPr="00500BCC">
        <w:rPr>
          <w:sz w:val="18"/>
          <w:szCs w:val="18"/>
          <w:lang w:val="en-CA"/>
        </w:rPr>
        <w:t>* First three quarters of 2022.</w:t>
      </w:r>
    </w:p>
    <w:p w14:paraId="14B39E90" w14:textId="77777777" w:rsidR="00AB215E" w:rsidRPr="00500BCC" w:rsidRDefault="00AB215E" w:rsidP="00AB215E">
      <w:pPr>
        <w:pStyle w:val="NoSpacing"/>
        <w:ind w:left="360"/>
        <w:rPr>
          <w:lang w:val="en-CA"/>
        </w:rPr>
      </w:pPr>
    </w:p>
    <w:p w14:paraId="12E68416" w14:textId="0616A3A8" w:rsidR="009757AE" w:rsidRPr="00500BCC" w:rsidRDefault="009757AE" w:rsidP="008847CF">
      <w:pPr>
        <w:pStyle w:val="NoSpacing"/>
        <w:ind w:left="360"/>
        <w:rPr>
          <w:lang w:val="en-CA"/>
        </w:rPr>
      </w:pPr>
      <w:r w:rsidRPr="009356E6">
        <w:rPr>
          <w:lang w:val="en-CA"/>
        </w:rPr>
        <w:t xml:space="preserve">Furthermore, a study published by the International Council on Clean Transportation (ICCT) in </w:t>
      </w:r>
      <w:r w:rsidR="6E5112BA" w:rsidRPr="009356E6">
        <w:rPr>
          <w:lang w:val="en-CA"/>
        </w:rPr>
        <w:t xml:space="preserve">2022 </w:t>
      </w:r>
      <w:r w:rsidR="0F82D244" w:rsidRPr="009356E6">
        <w:rPr>
          <w:lang w:val="en-CA"/>
        </w:rPr>
        <w:t>presents ‘’strong evidence that real-world electric drive share is far below the utility factor label rating</w:t>
      </w:r>
      <w:r w:rsidR="00716E60">
        <w:rPr>
          <w:lang w:val="en-CA"/>
        </w:rPr>
        <w:t>’’</w:t>
      </w:r>
      <w:r w:rsidR="0F82D244" w:rsidRPr="009356E6">
        <w:rPr>
          <w:lang w:val="en-CA"/>
        </w:rPr>
        <w:t>. Specifically, the analysis finds that real-world electric drive share may be 26%–56% lower and real-world fuel consumption may be 42%–67% higher than assumed within EPA’s labeling program for light duty vehicles.</w:t>
      </w:r>
      <w:r w:rsidR="00CC4CDD" w:rsidRPr="00F41A20">
        <w:rPr>
          <w:vertAlign w:val="superscript"/>
          <w:lang w:val="en-CA"/>
        </w:rPr>
        <w:footnoteReference w:id="9"/>
      </w:r>
      <w:r w:rsidRPr="009356E6">
        <w:rPr>
          <w:lang w:val="en-CA"/>
        </w:rPr>
        <w:t xml:space="preserve"> According to another ICCT publication, for greater certainty on the GHG emission reduction trajectory of the vehicle fleet, ZEV regulations should encourage faster adoption of EVs by 2030 and cap (at 20% or less) and consider phasing</w:t>
      </w:r>
      <w:r w:rsidRPr="00500BCC">
        <w:rPr>
          <w:lang w:val="en-CA"/>
        </w:rPr>
        <w:t xml:space="preserve"> out PHEVs</w:t>
      </w:r>
      <w:r w:rsidR="00CC4CDD" w:rsidRPr="00500BCC">
        <w:rPr>
          <w:rStyle w:val="FootnoteReference"/>
          <w:lang w:val="en-CA"/>
        </w:rPr>
        <w:footnoteReference w:id="10"/>
      </w:r>
      <w:r w:rsidR="00CC4CDD" w:rsidRPr="00500BCC">
        <w:rPr>
          <w:lang w:val="en-CA"/>
        </w:rPr>
        <w:t>.</w:t>
      </w:r>
      <w:r w:rsidRPr="00500BCC">
        <w:rPr>
          <w:lang w:val="en-CA"/>
        </w:rPr>
        <w:t xml:space="preserve"> </w:t>
      </w:r>
      <w:r w:rsidR="00C26E11">
        <w:rPr>
          <w:lang w:val="en-CA"/>
        </w:rPr>
        <w:t xml:space="preserve">That reality is even more problematic in Canada where PHEVs run on gas a significant percentage of the time in the winter due to the </w:t>
      </w:r>
      <w:r w:rsidR="00B73039">
        <w:rPr>
          <w:lang w:val="en-CA"/>
        </w:rPr>
        <w:t>battery management system</w:t>
      </w:r>
      <w:r w:rsidR="00C26E11">
        <w:rPr>
          <w:lang w:val="en-CA"/>
        </w:rPr>
        <w:t xml:space="preserve"> of the</w:t>
      </w:r>
      <w:r w:rsidR="0069091D">
        <w:rPr>
          <w:lang w:val="en-CA"/>
        </w:rPr>
        <w:t>se</w:t>
      </w:r>
      <w:r w:rsidR="00C26E11">
        <w:rPr>
          <w:lang w:val="en-CA"/>
        </w:rPr>
        <w:t xml:space="preserve"> vehicles requiring the gas engine to start below a certain temperature. So, even though the battery may be full, the vehicle just won’t run on electricity because of the cold</w:t>
      </w:r>
      <w:r w:rsidR="0069091D">
        <w:rPr>
          <w:lang w:val="en-CA"/>
        </w:rPr>
        <w:t xml:space="preserve"> weather.</w:t>
      </w:r>
    </w:p>
    <w:p w14:paraId="09CEA035" w14:textId="77777777" w:rsidR="00415694" w:rsidRPr="00500BCC" w:rsidRDefault="00415694" w:rsidP="009757AE">
      <w:pPr>
        <w:pStyle w:val="NoSpacing"/>
        <w:ind w:left="360"/>
        <w:rPr>
          <w:lang w:val="en-CA"/>
        </w:rPr>
      </w:pPr>
    </w:p>
    <w:p w14:paraId="46EE3BEB" w14:textId="62F72B1E" w:rsidR="008847CF" w:rsidRPr="00500BCC" w:rsidRDefault="7B2BA3D5" w:rsidP="00A124C7">
      <w:pPr>
        <w:pStyle w:val="NoSpacing"/>
        <w:numPr>
          <w:ilvl w:val="0"/>
          <w:numId w:val="25"/>
        </w:numPr>
        <w:rPr>
          <w:b/>
          <w:bCs/>
          <w:lang w:val="en-CA"/>
        </w:rPr>
      </w:pPr>
      <w:r w:rsidRPr="00500BCC">
        <w:rPr>
          <w:b/>
          <w:bCs/>
          <w:lang w:val="en-CA"/>
        </w:rPr>
        <w:t>Credit trading</w:t>
      </w:r>
      <w:r w:rsidR="63AFFBEE" w:rsidRPr="00500BCC">
        <w:rPr>
          <w:b/>
          <w:bCs/>
          <w:lang w:val="en-CA"/>
        </w:rPr>
        <w:t>:</w:t>
      </w:r>
    </w:p>
    <w:p w14:paraId="567371A9" w14:textId="62936A87" w:rsidR="328FA3CE" w:rsidRPr="00500BCC" w:rsidRDefault="328FA3CE" w:rsidP="00E206B2">
      <w:pPr>
        <w:pStyle w:val="NoSpacing"/>
        <w:ind w:left="360"/>
        <w:rPr>
          <w:lang w:val="en-CA"/>
        </w:rPr>
      </w:pPr>
    </w:p>
    <w:p w14:paraId="341ADEA3" w14:textId="212FE5F5" w:rsidR="00A124C7" w:rsidRPr="00500BCC" w:rsidRDefault="1CE8389C" w:rsidP="0054425E">
      <w:pPr>
        <w:pStyle w:val="NoSpacing"/>
        <w:ind w:left="360"/>
        <w:rPr>
          <w:rFonts w:ascii="Calibri" w:eastAsia="Calibri" w:hAnsi="Calibri" w:cs="Calibri"/>
          <w:lang w:val="en-CA"/>
        </w:rPr>
      </w:pPr>
      <w:r w:rsidRPr="6572A1C6">
        <w:rPr>
          <w:lang w:val="en-CA"/>
        </w:rPr>
        <w:t>EMC agrees that</w:t>
      </w:r>
      <w:r w:rsidR="17E9721A" w:rsidRPr="6572A1C6">
        <w:rPr>
          <w:lang w:val="en-CA"/>
        </w:rPr>
        <w:t xml:space="preserve"> </w:t>
      </w:r>
      <w:r w:rsidR="00DD006B">
        <w:rPr>
          <w:lang w:val="en-CA"/>
        </w:rPr>
        <w:t xml:space="preserve">the ZEV regulations should facilitate </w:t>
      </w:r>
      <w:r w:rsidR="17E9721A" w:rsidRPr="6572A1C6">
        <w:rPr>
          <w:lang w:val="en-CA"/>
        </w:rPr>
        <w:t>ZEV</w:t>
      </w:r>
      <w:r w:rsidRPr="6572A1C6">
        <w:rPr>
          <w:lang w:val="en-CA"/>
        </w:rPr>
        <w:t xml:space="preserve"> credit trading </w:t>
      </w:r>
      <w:r w:rsidR="233D007A" w:rsidRPr="6572A1C6">
        <w:rPr>
          <w:lang w:val="en-CA"/>
        </w:rPr>
        <w:t>between OEM</w:t>
      </w:r>
      <w:r w:rsidR="64E284C7" w:rsidRPr="6572A1C6">
        <w:rPr>
          <w:lang w:val="en-CA"/>
        </w:rPr>
        <w:t>s</w:t>
      </w:r>
      <w:r w:rsidR="233D007A" w:rsidRPr="6572A1C6">
        <w:rPr>
          <w:lang w:val="en-CA"/>
        </w:rPr>
        <w:t xml:space="preserve"> </w:t>
      </w:r>
      <w:r w:rsidRPr="6572A1C6">
        <w:rPr>
          <w:lang w:val="en-CA"/>
        </w:rPr>
        <w:t>should be allowed</w:t>
      </w:r>
      <w:r w:rsidR="2D25444E" w:rsidRPr="6572A1C6">
        <w:rPr>
          <w:lang w:val="en-CA"/>
        </w:rPr>
        <w:t>.</w:t>
      </w:r>
      <w:r w:rsidR="233D007A" w:rsidRPr="6572A1C6">
        <w:rPr>
          <w:lang w:val="en-CA"/>
        </w:rPr>
        <w:t xml:space="preserve"> </w:t>
      </w:r>
      <w:r w:rsidR="47FFC520" w:rsidRPr="6572A1C6">
        <w:rPr>
          <w:lang w:val="en-CA"/>
        </w:rPr>
        <w:t xml:space="preserve">ZEV </w:t>
      </w:r>
      <w:r w:rsidR="00B43A7D" w:rsidRPr="6572A1C6">
        <w:rPr>
          <w:lang w:val="en-CA"/>
        </w:rPr>
        <w:t>credit</w:t>
      </w:r>
      <w:r w:rsidR="47FFC520" w:rsidRPr="6572A1C6">
        <w:rPr>
          <w:lang w:val="en-CA"/>
        </w:rPr>
        <w:t xml:space="preserve"> d</w:t>
      </w:r>
      <w:r w:rsidR="45E728ED" w:rsidRPr="6572A1C6">
        <w:rPr>
          <w:lang w:val="en-CA"/>
        </w:rPr>
        <w:t>eficits,</w:t>
      </w:r>
      <w:r w:rsidR="233D007A" w:rsidRPr="6572A1C6">
        <w:rPr>
          <w:lang w:val="en-CA"/>
        </w:rPr>
        <w:t xml:space="preserve"> </w:t>
      </w:r>
      <w:r w:rsidR="45E728ED" w:rsidRPr="6572A1C6">
        <w:rPr>
          <w:lang w:val="en-CA"/>
        </w:rPr>
        <w:t xml:space="preserve">banked </w:t>
      </w:r>
      <w:r w:rsidR="47FFC520" w:rsidRPr="6572A1C6">
        <w:rPr>
          <w:lang w:val="en-CA"/>
        </w:rPr>
        <w:t>ZEV c</w:t>
      </w:r>
      <w:r w:rsidR="45E728ED" w:rsidRPr="6572A1C6">
        <w:rPr>
          <w:lang w:val="en-CA"/>
        </w:rPr>
        <w:t xml:space="preserve">redits and </w:t>
      </w:r>
      <w:r w:rsidR="47FFC520" w:rsidRPr="6572A1C6">
        <w:rPr>
          <w:lang w:val="en-CA"/>
        </w:rPr>
        <w:t xml:space="preserve">ZEV credit </w:t>
      </w:r>
      <w:r w:rsidR="008D4B09" w:rsidRPr="6572A1C6">
        <w:rPr>
          <w:lang w:val="en-CA"/>
        </w:rPr>
        <w:t>trades</w:t>
      </w:r>
      <w:r w:rsidR="45E728ED" w:rsidRPr="6572A1C6">
        <w:rPr>
          <w:lang w:val="en-CA"/>
        </w:rPr>
        <w:t xml:space="preserve"> </w:t>
      </w:r>
      <w:r w:rsidR="47FFC520" w:rsidRPr="6572A1C6">
        <w:rPr>
          <w:lang w:val="en-CA"/>
        </w:rPr>
        <w:t xml:space="preserve">should be included in annual public reports under </w:t>
      </w:r>
      <w:r w:rsidR="00C84996">
        <w:rPr>
          <w:lang w:val="en-CA"/>
        </w:rPr>
        <w:lastRenderedPageBreak/>
        <w:t xml:space="preserve">the </w:t>
      </w:r>
      <w:r w:rsidR="00C84996">
        <w:rPr>
          <w:i/>
          <w:iCs/>
          <w:lang w:val="en-CA"/>
        </w:rPr>
        <w:t xml:space="preserve">Canadian Environmental Protection Act, 1999 </w:t>
      </w:r>
      <w:r w:rsidR="00C84996">
        <w:rPr>
          <w:lang w:val="en-CA"/>
        </w:rPr>
        <w:t>(</w:t>
      </w:r>
      <w:r w:rsidR="47FFC520" w:rsidRPr="6572A1C6">
        <w:rPr>
          <w:lang w:val="en-CA"/>
        </w:rPr>
        <w:t>CEPA</w:t>
      </w:r>
      <w:r w:rsidR="00C84996">
        <w:rPr>
          <w:lang w:val="en-CA"/>
        </w:rPr>
        <w:t>)</w:t>
      </w:r>
      <w:r w:rsidR="4D238F62" w:rsidRPr="6572A1C6">
        <w:rPr>
          <w:lang w:val="en-CA"/>
        </w:rPr>
        <w:t>.</w:t>
      </w:r>
      <w:r w:rsidR="2547CB31" w:rsidRPr="6572A1C6">
        <w:rPr>
          <w:lang w:val="en-CA"/>
        </w:rPr>
        <w:t xml:space="preserve"> </w:t>
      </w:r>
      <w:r w:rsidR="02BDED0E" w:rsidRPr="6572A1C6">
        <w:rPr>
          <w:rFonts w:ascii="Calibri" w:eastAsia="Calibri" w:hAnsi="Calibri" w:cs="Calibri"/>
          <w:lang w:val="en-CA"/>
        </w:rPr>
        <w:t>For addition</w:t>
      </w:r>
      <w:r w:rsidR="1230DF36" w:rsidRPr="6572A1C6">
        <w:rPr>
          <w:rFonts w:ascii="Calibri" w:eastAsia="Calibri" w:hAnsi="Calibri" w:cs="Calibri"/>
          <w:lang w:val="en-CA"/>
        </w:rPr>
        <w:t>al</w:t>
      </w:r>
      <w:r w:rsidR="02BDED0E" w:rsidRPr="6572A1C6">
        <w:rPr>
          <w:rFonts w:ascii="Calibri" w:eastAsia="Calibri" w:hAnsi="Calibri" w:cs="Calibri"/>
          <w:lang w:val="en-CA"/>
        </w:rPr>
        <w:t xml:space="preserve"> transparency the Government of Canada could consider establishing a credit trading desk, </w:t>
      </w:r>
      <w:r w:rsidR="00C84996">
        <w:rPr>
          <w:rFonts w:ascii="Calibri" w:eastAsia="Calibri" w:hAnsi="Calibri" w:cs="Calibri"/>
          <w:lang w:val="en-CA"/>
        </w:rPr>
        <w:t xml:space="preserve">which could be </w:t>
      </w:r>
      <w:r w:rsidR="02BDED0E" w:rsidRPr="6572A1C6">
        <w:rPr>
          <w:rFonts w:ascii="Calibri" w:eastAsia="Calibri" w:hAnsi="Calibri" w:cs="Calibri"/>
          <w:lang w:val="en-CA"/>
        </w:rPr>
        <w:t>inspired by existing provision</w:t>
      </w:r>
      <w:r w:rsidR="00C84996">
        <w:rPr>
          <w:rFonts w:ascii="Calibri" w:eastAsia="Calibri" w:hAnsi="Calibri" w:cs="Calibri"/>
          <w:lang w:val="en-CA"/>
        </w:rPr>
        <w:t>s</w:t>
      </w:r>
      <w:r w:rsidR="02BDED0E" w:rsidRPr="6572A1C6">
        <w:rPr>
          <w:rFonts w:ascii="Calibri" w:eastAsia="Calibri" w:hAnsi="Calibri" w:cs="Calibri"/>
          <w:lang w:val="en-CA"/>
        </w:rPr>
        <w:t xml:space="preserve"> in the Clean Fuels Regulation</w:t>
      </w:r>
      <w:r w:rsidR="003B7E82">
        <w:rPr>
          <w:rFonts w:ascii="Calibri" w:eastAsia="Calibri" w:hAnsi="Calibri" w:cs="Calibri"/>
          <w:lang w:val="en-CA"/>
        </w:rPr>
        <w:t>s (SOR/2022-140), which are also enacted under CEPA</w:t>
      </w:r>
      <w:r w:rsidR="02BDED0E" w:rsidRPr="6572A1C6">
        <w:rPr>
          <w:rFonts w:ascii="Calibri" w:eastAsia="Calibri" w:hAnsi="Calibri" w:cs="Calibri"/>
          <w:lang w:val="en-CA"/>
        </w:rPr>
        <w:t>. This option could incentivize over-compliance while providing public accountability through a transparent market</w:t>
      </w:r>
      <w:r w:rsidR="003A75E7">
        <w:rPr>
          <w:rFonts w:ascii="Calibri" w:eastAsia="Calibri" w:hAnsi="Calibri" w:cs="Calibri"/>
          <w:lang w:val="en-CA"/>
        </w:rPr>
        <w:t xml:space="preserve"> (see section 2.4.4 for more det</w:t>
      </w:r>
      <w:r w:rsidR="008B2AEB">
        <w:rPr>
          <w:rFonts w:ascii="Calibri" w:eastAsia="Calibri" w:hAnsi="Calibri" w:cs="Calibri"/>
          <w:lang w:val="en-CA"/>
        </w:rPr>
        <w:t>ails)</w:t>
      </w:r>
      <w:r w:rsidR="02BDED0E" w:rsidRPr="6572A1C6">
        <w:rPr>
          <w:rFonts w:ascii="Calibri" w:eastAsia="Calibri" w:hAnsi="Calibri" w:cs="Calibri"/>
          <w:lang w:val="en-CA"/>
        </w:rPr>
        <w:t>.</w:t>
      </w:r>
    </w:p>
    <w:p w14:paraId="6CCABF1E" w14:textId="77777777" w:rsidR="0054425E" w:rsidRPr="00500BCC" w:rsidRDefault="0054425E" w:rsidP="0054425E">
      <w:pPr>
        <w:pStyle w:val="NoSpacing"/>
        <w:ind w:left="360"/>
        <w:rPr>
          <w:rFonts w:ascii="Calibri" w:eastAsia="Calibri" w:hAnsi="Calibri" w:cs="Calibri"/>
          <w:lang w:val="en-CA"/>
        </w:rPr>
      </w:pPr>
    </w:p>
    <w:p w14:paraId="65B0E1A7" w14:textId="72077FDC" w:rsidR="00A124C7" w:rsidRPr="00500BCC" w:rsidRDefault="3F832442" w:rsidP="328FA3CE">
      <w:pPr>
        <w:pStyle w:val="NoSpacing"/>
        <w:ind w:left="360"/>
        <w:rPr>
          <w:lang w:val="en-CA"/>
        </w:rPr>
      </w:pPr>
      <w:r w:rsidRPr="00500BCC">
        <w:rPr>
          <w:lang w:val="en-CA"/>
        </w:rPr>
        <w:t xml:space="preserve">Priority use of credits acquired from another OEM </w:t>
      </w:r>
      <w:r w:rsidR="5D8A7618" w:rsidRPr="00500BCC">
        <w:rPr>
          <w:lang w:val="en-CA"/>
        </w:rPr>
        <w:t>should</w:t>
      </w:r>
      <w:r w:rsidRPr="00500BCC">
        <w:rPr>
          <w:lang w:val="en-CA"/>
        </w:rPr>
        <w:t xml:space="preserve"> be defined in the regulation</w:t>
      </w:r>
      <w:r w:rsidR="579CF85F" w:rsidRPr="00500BCC">
        <w:rPr>
          <w:lang w:val="en-CA"/>
        </w:rPr>
        <w:t xml:space="preserve">: OEMs </w:t>
      </w:r>
      <w:r w:rsidR="008E3937">
        <w:rPr>
          <w:lang w:val="en-CA"/>
        </w:rPr>
        <w:t>should be required to</w:t>
      </w:r>
      <w:r w:rsidR="008E3937" w:rsidRPr="00500BCC">
        <w:rPr>
          <w:lang w:val="en-CA"/>
        </w:rPr>
        <w:t xml:space="preserve"> </w:t>
      </w:r>
      <w:r w:rsidR="503B1220" w:rsidRPr="00500BCC">
        <w:rPr>
          <w:lang w:val="en-CA"/>
        </w:rPr>
        <w:t xml:space="preserve">first </w:t>
      </w:r>
      <w:r w:rsidR="579CF85F" w:rsidRPr="00500BCC">
        <w:rPr>
          <w:lang w:val="en-CA"/>
        </w:rPr>
        <w:t xml:space="preserve">apply credits transferred </w:t>
      </w:r>
      <w:r w:rsidR="503B1220" w:rsidRPr="00500BCC">
        <w:rPr>
          <w:lang w:val="en-CA"/>
        </w:rPr>
        <w:t>from another OEM to past deficits</w:t>
      </w:r>
      <w:r w:rsidR="6859919E" w:rsidRPr="00500BCC">
        <w:rPr>
          <w:lang w:val="en-CA"/>
        </w:rPr>
        <w:t xml:space="preserve"> before applying them to the current year’s obligations </w:t>
      </w:r>
      <w:r w:rsidR="0A77E66B" w:rsidRPr="00500BCC">
        <w:rPr>
          <w:lang w:val="en-CA"/>
        </w:rPr>
        <w:t xml:space="preserve">and </w:t>
      </w:r>
      <w:r w:rsidR="008E3937">
        <w:rPr>
          <w:lang w:val="en-CA"/>
        </w:rPr>
        <w:t xml:space="preserve">should </w:t>
      </w:r>
      <w:r w:rsidR="0A77E66B" w:rsidRPr="00500BCC">
        <w:rPr>
          <w:lang w:val="en-CA"/>
        </w:rPr>
        <w:t xml:space="preserve">only </w:t>
      </w:r>
      <w:r w:rsidR="008E3937">
        <w:rPr>
          <w:lang w:val="en-CA"/>
        </w:rPr>
        <w:t xml:space="preserve">be allowed to </w:t>
      </w:r>
      <w:r w:rsidR="0A77E66B" w:rsidRPr="00500BCC">
        <w:rPr>
          <w:lang w:val="en-CA"/>
        </w:rPr>
        <w:t>bank them once past deficits and current year’s obligations are met.</w:t>
      </w:r>
    </w:p>
    <w:p w14:paraId="1FE65C6C" w14:textId="22CE18D3" w:rsidR="00415694" w:rsidRPr="00500BCC" w:rsidRDefault="00415694" w:rsidP="0024331E">
      <w:pPr>
        <w:pStyle w:val="NoSpacing"/>
        <w:rPr>
          <w:lang w:val="en-CA"/>
        </w:rPr>
      </w:pPr>
    </w:p>
    <w:p w14:paraId="47501AC8" w14:textId="675D299A" w:rsidR="0098609B" w:rsidRPr="00500BCC" w:rsidRDefault="00B13E05" w:rsidP="00AC3B57">
      <w:pPr>
        <w:pStyle w:val="Heading3"/>
      </w:pPr>
      <w:bookmarkStart w:id="32" w:name="_Credit_banking"/>
      <w:bookmarkStart w:id="33" w:name="_Toc128035341"/>
      <w:bookmarkStart w:id="34" w:name="_Toc129792107"/>
      <w:bookmarkStart w:id="35" w:name="_Toc2058754355"/>
      <w:bookmarkEnd w:id="32"/>
      <w:r w:rsidRPr="00500BCC">
        <w:t>Credit banking</w:t>
      </w:r>
      <w:bookmarkEnd w:id="33"/>
      <w:bookmarkEnd w:id="34"/>
      <w:r w:rsidRPr="00500BCC">
        <w:t xml:space="preserve"> </w:t>
      </w:r>
      <w:bookmarkEnd w:id="35"/>
    </w:p>
    <w:p w14:paraId="25FBEFBA" w14:textId="77777777" w:rsidR="00C15A1B" w:rsidRPr="00500BCC" w:rsidRDefault="00C15A1B" w:rsidP="00397C89">
      <w:pPr>
        <w:pStyle w:val="NoSpacing"/>
        <w:rPr>
          <w:lang w:val="en-CA"/>
        </w:rPr>
      </w:pPr>
    </w:p>
    <w:p w14:paraId="588A38BC" w14:textId="7C0032CA" w:rsidR="00B13E05" w:rsidRPr="00500BCC" w:rsidRDefault="37833980" w:rsidP="58E14D33">
      <w:pPr>
        <w:pStyle w:val="NoSpacing"/>
        <w:rPr>
          <w:lang w:val="en-CA"/>
        </w:rPr>
      </w:pPr>
      <w:r w:rsidRPr="00500BCC">
        <w:rPr>
          <w:lang w:val="en-CA"/>
        </w:rPr>
        <w:t>To avoid flood</w:t>
      </w:r>
      <w:r w:rsidR="5A8F88FF" w:rsidRPr="00500BCC">
        <w:rPr>
          <w:lang w:val="en-CA"/>
        </w:rPr>
        <w:t>ing the credit market in early years of the regulation, w</w:t>
      </w:r>
      <w:r w:rsidR="7BFC2167" w:rsidRPr="00500BCC">
        <w:rPr>
          <w:lang w:val="en-CA"/>
        </w:rPr>
        <w:t xml:space="preserve">e recommend a </w:t>
      </w:r>
      <w:r w:rsidR="68FEEBDC" w:rsidRPr="00500BCC">
        <w:rPr>
          <w:lang w:val="en-CA"/>
        </w:rPr>
        <w:t>3</w:t>
      </w:r>
      <w:r w:rsidR="5A8F88FF" w:rsidRPr="00500BCC">
        <w:rPr>
          <w:lang w:val="en-CA"/>
        </w:rPr>
        <w:t xml:space="preserve">-year </w:t>
      </w:r>
      <w:r w:rsidRPr="00500BCC">
        <w:rPr>
          <w:lang w:val="en-CA"/>
        </w:rPr>
        <w:t>lifespan for banked credits</w:t>
      </w:r>
      <w:r w:rsidR="48B75446" w:rsidRPr="00500BCC">
        <w:rPr>
          <w:lang w:val="en-CA"/>
        </w:rPr>
        <w:t xml:space="preserve">. </w:t>
      </w:r>
      <w:r w:rsidR="356C043C" w:rsidRPr="00500BCC">
        <w:rPr>
          <w:lang w:val="en-CA"/>
        </w:rPr>
        <w:t xml:space="preserve">This will ensure that supply continues to grow in later years when targets ramp-up by </w:t>
      </w:r>
      <w:r w:rsidR="008E3937">
        <w:rPr>
          <w:lang w:val="en-CA"/>
        </w:rPr>
        <w:t xml:space="preserve">preventing OEMs from </w:t>
      </w:r>
      <w:r w:rsidR="008E3937" w:rsidRPr="00500BCC">
        <w:rPr>
          <w:lang w:val="en-CA"/>
        </w:rPr>
        <w:t>us</w:t>
      </w:r>
      <w:r w:rsidR="008E3937">
        <w:rPr>
          <w:lang w:val="en-CA"/>
        </w:rPr>
        <w:t>ing</w:t>
      </w:r>
      <w:r w:rsidR="008E3937" w:rsidRPr="00500BCC">
        <w:rPr>
          <w:lang w:val="en-CA"/>
        </w:rPr>
        <w:t xml:space="preserve"> </w:t>
      </w:r>
      <w:r w:rsidR="4C847265" w:rsidRPr="00500BCC">
        <w:rPr>
          <w:lang w:val="en-CA"/>
        </w:rPr>
        <w:t xml:space="preserve">too many </w:t>
      </w:r>
      <w:r w:rsidR="04C0DAA4" w:rsidRPr="00500BCC">
        <w:rPr>
          <w:lang w:val="en-CA"/>
        </w:rPr>
        <w:t xml:space="preserve">banked credits from earlier years to </w:t>
      </w:r>
      <w:r w:rsidR="008E3937">
        <w:rPr>
          <w:lang w:val="en-CA"/>
        </w:rPr>
        <w:t>meet</w:t>
      </w:r>
      <w:r w:rsidR="008E3937" w:rsidRPr="00500BCC">
        <w:rPr>
          <w:lang w:val="en-CA"/>
        </w:rPr>
        <w:t xml:space="preserve"> </w:t>
      </w:r>
      <w:r w:rsidR="04C0DAA4" w:rsidRPr="00500BCC">
        <w:rPr>
          <w:lang w:val="en-CA"/>
        </w:rPr>
        <w:t>their obligations</w:t>
      </w:r>
      <w:r w:rsidR="1776ECD6" w:rsidRPr="00500BCC">
        <w:rPr>
          <w:lang w:val="en-CA"/>
        </w:rPr>
        <w:t>.</w:t>
      </w:r>
    </w:p>
    <w:p w14:paraId="33F25AED" w14:textId="77777777" w:rsidR="007864F8" w:rsidRPr="00500BCC" w:rsidRDefault="007864F8" w:rsidP="00397C89">
      <w:pPr>
        <w:pStyle w:val="NoSpacing"/>
        <w:rPr>
          <w:lang w:val="en-CA"/>
        </w:rPr>
      </w:pPr>
    </w:p>
    <w:p w14:paraId="3A3495D1" w14:textId="3E552036" w:rsidR="00C15526" w:rsidRPr="00500BCC" w:rsidRDefault="000403B6" w:rsidP="00AC3B57">
      <w:pPr>
        <w:pStyle w:val="Heading3"/>
      </w:pPr>
      <w:bookmarkStart w:id="36" w:name="_Time_limit_to"/>
      <w:bookmarkStart w:id="37" w:name="_Toc128035342"/>
      <w:bookmarkStart w:id="38" w:name="_Toc129792108"/>
      <w:bookmarkEnd w:id="36"/>
      <w:r w:rsidRPr="00500BCC">
        <w:t xml:space="preserve">Time limit to offset </w:t>
      </w:r>
      <w:bookmarkEnd w:id="37"/>
      <w:r w:rsidR="00415694" w:rsidRPr="00500BCC">
        <w:t>deficits</w:t>
      </w:r>
      <w:bookmarkEnd w:id="38"/>
    </w:p>
    <w:p w14:paraId="353D2916" w14:textId="77777777" w:rsidR="008E16E3" w:rsidRPr="00500BCC" w:rsidRDefault="008E16E3" w:rsidP="00397C89">
      <w:pPr>
        <w:pStyle w:val="NoSpacing"/>
        <w:rPr>
          <w:lang w:val="en-CA"/>
        </w:rPr>
      </w:pPr>
    </w:p>
    <w:p w14:paraId="3F4719D7" w14:textId="33A128F6" w:rsidR="00633D26" w:rsidRPr="00500BCC" w:rsidRDefault="7D688EED" w:rsidP="00FE2E32">
      <w:pPr>
        <w:pStyle w:val="NoSpacing"/>
        <w:rPr>
          <w:lang w:val="en-CA"/>
        </w:rPr>
      </w:pPr>
      <w:r w:rsidRPr="6572A1C6">
        <w:rPr>
          <w:lang w:val="en-CA"/>
        </w:rPr>
        <w:t xml:space="preserve">Profit margins on ZEV models will grow in future years as production ramps </w:t>
      </w:r>
      <w:r w:rsidR="00415694" w:rsidRPr="6572A1C6">
        <w:rPr>
          <w:lang w:val="en-CA"/>
        </w:rPr>
        <w:t>up but</w:t>
      </w:r>
      <w:r w:rsidRPr="6572A1C6">
        <w:rPr>
          <w:lang w:val="en-CA"/>
        </w:rPr>
        <w:t xml:space="preserve"> are currently lower than profit margins on ICE vehicles, especially </w:t>
      </w:r>
      <w:r w:rsidR="7785A10B" w:rsidRPr="6572A1C6">
        <w:rPr>
          <w:lang w:val="en-CA"/>
        </w:rPr>
        <w:t>the popular</w:t>
      </w:r>
      <w:r w:rsidRPr="6572A1C6">
        <w:rPr>
          <w:lang w:val="en-CA"/>
        </w:rPr>
        <w:t xml:space="preserve"> larger SUV models. OEMs are thus financially motivated to maximize benefits by promoting and selling more profitable ICE vehicles in </w:t>
      </w:r>
      <w:r w:rsidR="02DCEDCF" w:rsidRPr="6572A1C6">
        <w:rPr>
          <w:lang w:val="en-CA"/>
        </w:rPr>
        <w:t xml:space="preserve">the </w:t>
      </w:r>
      <w:r w:rsidRPr="6572A1C6">
        <w:rPr>
          <w:lang w:val="en-CA"/>
        </w:rPr>
        <w:t xml:space="preserve">early years of the regulation and by delaying ZEV sales as much as possible to later years when margins </w:t>
      </w:r>
      <w:r w:rsidR="2515DE6B" w:rsidRPr="6572A1C6">
        <w:rPr>
          <w:lang w:val="en-CA"/>
        </w:rPr>
        <w:t xml:space="preserve">will </w:t>
      </w:r>
      <w:r w:rsidRPr="6572A1C6">
        <w:rPr>
          <w:lang w:val="en-CA"/>
        </w:rPr>
        <w:t>have improved. Banking and borrowing flexibilities will be maximized by OEMs and the generous options afforded in the proposed regulation</w:t>
      </w:r>
      <w:r w:rsidR="00332DC3" w:rsidRPr="6572A1C6">
        <w:rPr>
          <w:lang w:val="en-CA"/>
        </w:rPr>
        <w:t xml:space="preserve"> such as the 3-year rolling deficit mecha</w:t>
      </w:r>
      <w:r w:rsidR="007231A4" w:rsidRPr="6572A1C6">
        <w:rPr>
          <w:lang w:val="en-CA"/>
        </w:rPr>
        <w:t>nism,</w:t>
      </w:r>
      <w:r w:rsidRPr="6572A1C6">
        <w:rPr>
          <w:lang w:val="en-CA"/>
        </w:rPr>
        <w:t xml:space="preserve"> will delay the GHG emission reductions and ZEV supply increase </w:t>
      </w:r>
      <w:r w:rsidR="300E62B4" w:rsidRPr="6572A1C6">
        <w:rPr>
          <w:lang w:val="en-CA"/>
        </w:rPr>
        <w:t xml:space="preserve">that </w:t>
      </w:r>
      <w:r w:rsidRPr="6572A1C6">
        <w:rPr>
          <w:lang w:val="en-CA"/>
        </w:rPr>
        <w:t>it was intended for.</w:t>
      </w:r>
    </w:p>
    <w:p w14:paraId="7028BAE2" w14:textId="77777777" w:rsidR="008807DC" w:rsidRPr="00500BCC" w:rsidRDefault="008807DC" w:rsidP="328FA3CE">
      <w:pPr>
        <w:pStyle w:val="NoSpacing"/>
        <w:rPr>
          <w:lang w:val="en-CA"/>
        </w:rPr>
      </w:pPr>
    </w:p>
    <w:p w14:paraId="43E69A5B" w14:textId="46A72433" w:rsidR="4E492C2F" w:rsidRPr="00500BCC" w:rsidRDefault="00CE0D1E" w:rsidP="00A041F6">
      <w:pPr>
        <w:pStyle w:val="NoSpacing"/>
        <w:rPr>
          <w:color w:val="000000" w:themeColor="text1"/>
          <w:lang w:val="en-CA"/>
        </w:rPr>
      </w:pPr>
      <w:r w:rsidRPr="6572A1C6">
        <w:rPr>
          <w:lang w:val="en-CA"/>
        </w:rPr>
        <w:t xml:space="preserve">To limit debt accumulation and correct the proposed 3-year rolling deficit that theoretically would allow automakers to </w:t>
      </w:r>
      <w:r w:rsidR="1325494B" w:rsidRPr="6572A1C6">
        <w:rPr>
          <w:lang w:val="en-CA"/>
        </w:rPr>
        <w:t>defer</w:t>
      </w:r>
      <w:r w:rsidRPr="6572A1C6">
        <w:rPr>
          <w:lang w:val="en-CA"/>
        </w:rPr>
        <w:t xml:space="preserve"> large portions of their annual obligations, or even the entirety of those obligations, during the first years of the regulation, we recommend establishing a </w:t>
      </w:r>
      <w:r w:rsidR="00B43A7D" w:rsidRPr="6572A1C6">
        <w:rPr>
          <w:lang w:val="en-CA"/>
        </w:rPr>
        <w:t xml:space="preserve">ZEV </w:t>
      </w:r>
      <w:r w:rsidRPr="6572A1C6">
        <w:rPr>
          <w:b/>
          <w:bCs/>
          <w:lang w:val="en-CA"/>
        </w:rPr>
        <w:t>credit clearance mechanism</w:t>
      </w:r>
      <w:r w:rsidR="00E531F4">
        <w:rPr>
          <w:rStyle w:val="FootnoteReference"/>
          <w:b/>
          <w:bCs/>
          <w:lang w:val="en-CA"/>
        </w:rPr>
        <w:footnoteReference w:id="11"/>
      </w:r>
      <w:r w:rsidRPr="6572A1C6">
        <w:rPr>
          <w:lang w:val="en-CA"/>
        </w:rPr>
        <w:t xml:space="preserve">. Under </w:t>
      </w:r>
      <w:r w:rsidR="003C1CA1">
        <w:rPr>
          <w:lang w:val="en-CA"/>
        </w:rPr>
        <w:t>such a</w:t>
      </w:r>
      <w:r w:rsidR="003C1CA1" w:rsidRPr="6572A1C6">
        <w:rPr>
          <w:lang w:val="en-CA"/>
        </w:rPr>
        <w:t xml:space="preserve"> </w:t>
      </w:r>
      <w:r w:rsidRPr="6572A1C6">
        <w:rPr>
          <w:lang w:val="en-CA"/>
        </w:rPr>
        <w:t xml:space="preserve">program, </w:t>
      </w:r>
      <w:r w:rsidR="00C933FB">
        <w:rPr>
          <w:lang w:val="en-CA"/>
        </w:rPr>
        <w:t xml:space="preserve">an automaker would offset any </w:t>
      </w:r>
      <w:r w:rsidRPr="6572A1C6">
        <w:rPr>
          <w:lang w:val="en-CA"/>
        </w:rPr>
        <w:t xml:space="preserve">deficit </w:t>
      </w:r>
      <w:r w:rsidR="00C933FB">
        <w:rPr>
          <w:lang w:val="en-CA"/>
        </w:rPr>
        <w:t>in each year</w:t>
      </w:r>
      <w:r w:rsidR="10A1422C" w:rsidRPr="6572A1C6">
        <w:rPr>
          <w:lang w:val="en-CA"/>
        </w:rPr>
        <w:t xml:space="preserve"> by acquiring</w:t>
      </w:r>
      <w:r w:rsidR="00B43A7D" w:rsidRPr="6572A1C6">
        <w:rPr>
          <w:lang w:val="en-CA"/>
        </w:rPr>
        <w:t xml:space="preserve"> </w:t>
      </w:r>
      <w:r w:rsidR="016CF13F" w:rsidRPr="6572A1C6">
        <w:rPr>
          <w:lang w:val="en-CA"/>
        </w:rPr>
        <w:t xml:space="preserve">surplus </w:t>
      </w:r>
      <w:r w:rsidR="00B43A7D" w:rsidRPr="6572A1C6">
        <w:rPr>
          <w:lang w:val="en-CA"/>
        </w:rPr>
        <w:t>ZEV</w:t>
      </w:r>
      <w:r w:rsidR="10A1422C" w:rsidRPr="6572A1C6">
        <w:rPr>
          <w:lang w:val="en-CA"/>
        </w:rPr>
        <w:t xml:space="preserve"> credits </w:t>
      </w:r>
      <w:r w:rsidR="698F24EF" w:rsidRPr="6572A1C6">
        <w:rPr>
          <w:lang w:val="en-CA"/>
        </w:rPr>
        <w:t>from</w:t>
      </w:r>
      <w:r w:rsidRPr="6572A1C6">
        <w:rPr>
          <w:lang w:val="en-CA"/>
        </w:rPr>
        <w:t xml:space="preserve"> other</w:t>
      </w:r>
      <w:r w:rsidR="10A1422C" w:rsidRPr="6572A1C6">
        <w:rPr>
          <w:lang w:val="en-CA"/>
        </w:rPr>
        <w:t xml:space="preserve"> automakers</w:t>
      </w:r>
      <w:r w:rsidRPr="6572A1C6">
        <w:rPr>
          <w:lang w:val="en-CA"/>
        </w:rPr>
        <w:t xml:space="preserve"> </w:t>
      </w:r>
      <w:r w:rsidR="008A5CA4">
        <w:rPr>
          <w:lang w:val="en-CA"/>
        </w:rPr>
        <w:t xml:space="preserve">equal to the deficit </w:t>
      </w:r>
      <w:r w:rsidRPr="6572A1C6">
        <w:rPr>
          <w:lang w:val="en-CA"/>
        </w:rPr>
        <w:t xml:space="preserve">or, if the necessary </w:t>
      </w:r>
      <w:r w:rsidR="00B43A7D" w:rsidRPr="6572A1C6">
        <w:rPr>
          <w:lang w:val="en-CA"/>
        </w:rPr>
        <w:t xml:space="preserve">ZEV </w:t>
      </w:r>
      <w:r w:rsidRPr="6572A1C6">
        <w:rPr>
          <w:lang w:val="en-CA"/>
        </w:rPr>
        <w:t>credits are unavailable</w:t>
      </w:r>
      <w:r w:rsidR="008A5CA4">
        <w:rPr>
          <w:lang w:val="en-CA"/>
        </w:rPr>
        <w:t xml:space="preserve"> from other automakers</w:t>
      </w:r>
      <w:r w:rsidRPr="6572A1C6">
        <w:rPr>
          <w:lang w:val="en-CA"/>
        </w:rPr>
        <w:t>,</w:t>
      </w:r>
      <w:r w:rsidR="10A1422C" w:rsidRPr="6572A1C6">
        <w:rPr>
          <w:lang w:val="en-CA"/>
        </w:rPr>
        <w:t xml:space="preserve"> </w:t>
      </w:r>
      <w:r w:rsidRPr="6572A1C6">
        <w:rPr>
          <w:lang w:val="en-CA"/>
        </w:rPr>
        <w:t xml:space="preserve">through </w:t>
      </w:r>
      <w:r w:rsidR="0025379C">
        <w:rPr>
          <w:lang w:val="en-CA"/>
        </w:rPr>
        <w:t xml:space="preserve">investments in charging infrastructure </w:t>
      </w:r>
      <w:r w:rsidR="00E81BAF">
        <w:rPr>
          <w:lang w:val="en-CA"/>
        </w:rPr>
        <w:t xml:space="preserve">or through a </w:t>
      </w:r>
      <w:r w:rsidR="00CF3944">
        <w:rPr>
          <w:lang w:val="en-CA"/>
        </w:rPr>
        <w:t>credit purchase</w:t>
      </w:r>
      <w:r w:rsidR="10A1422C" w:rsidRPr="6572A1C6">
        <w:rPr>
          <w:lang w:val="en-CA"/>
        </w:rPr>
        <w:t xml:space="preserve"> </w:t>
      </w:r>
      <w:r w:rsidR="00E81BAF">
        <w:rPr>
          <w:lang w:val="en-CA"/>
        </w:rPr>
        <w:t>agreement</w:t>
      </w:r>
      <w:r w:rsidR="10A1422C" w:rsidRPr="6572A1C6">
        <w:rPr>
          <w:lang w:val="en-CA"/>
        </w:rPr>
        <w:t xml:space="preserve">. At the end of </w:t>
      </w:r>
      <w:r w:rsidR="00CF3944">
        <w:rPr>
          <w:lang w:val="en-CA"/>
        </w:rPr>
        <w:t>each</w:t>
      </w:r>
      <w:r w:rsidR="00CF3944" w:rsidRPr="6572A1C6">
        <w:rPr>
          <w:lang w:val="en-CA"/>
        </w:rPr>
        <w:t xml:space="preserve"> </w:t>
      </w:r>
      <w:r w:rsidR="10A1422C" w:rsidRPr="6572A1C6">
        <w:rPr>
          <w:lang w:val="en-CA"/>
        </w:rPr>
        <w:t xml:space="preserve">year, automakers that have not met that year’s ZEV obligations would be required to purchase available </w:t>
      </w:r>
      <w:r w:rsidR="00B43A7D" w:rsidRPr="6572A1C6">
        <w:rPr>
          <w:lang w:val="en-CA"/>
        </w:rPr>
        <w:t xml:space="preserve">ZEV </w:t>
      </w:r>
      <w:r w:rsidR="10A1422C" w:rsidRPr="6572A1C6">
        <w:rPr>
          <w:lang w:val="en-CA"/>
        </w:rPr>
        <w:t xml:space="preserve">credits, through a public trading desk, to offset </w:t>
      </w:r>
      <w:r w:rsidRPr="6572A1C6">
        <w:rPr>
          <w:lang w:val="en-CA"/>
        </w:rPr>
        <w:t xml:space="preserve">their credit deficit. </w:t>
      </w:r>
      <w:r w:rsidR="10A1422C" w:rsidRPr="6572A1C6">
        <w:rPr>
          <w:lang w:val="en-CA"/>
        </w:rPr>
        <w:t xml:space="preserve">Automakers </w:t>
      </w:r>
      <w:r w:rsidRPr="6572A1C6">
        <w:rPr>
          <w:lang w:val="en-CA"/>
        </w:rPr>
        <w:t>with banked</w:t>
      </w:r>
      <w:r w:rsidR="00B43A7D" w:rsidRPr="6572A1C6">
        <w:rPr>
          <w:lang w:val="en-CA"/>
        </w:rPr>
        <w:t xml:space="preserve"> ZEV</w:t>
      </w:r>
      <w:r w:rsidRPr="6572A1C6">
        <w:rPr>
          <w:lang w:val="en-CA"/>
        </w:rPr>
        <w:t xml:space="preserve"> credits</w:t>
      </w:r>
      <w:r w:rsidR="10A1422C" w:rsidRPr="6572A1C6">
        <w:rPr>
          <w:lang w:val="en-CA"/>
        </w:rPr>
        <w:t xml:space="preserve"> would </w:t>
      </w:r>
      <w:r w:rsidR="00260E7A">
        <w:rPr>
          <w:lang w:val="en-CA"/>
        </w:rPr>
        <w:t>have the option of</w:t>
      </w:r>
      <w:r w:rsidR="10A1422C" w:rsidRPr="6572A1C6">
        <w:rPr>
          <w:lang w:val="en-CA"/>
        </w:rPr>
        <w:t xml:space="preserve"> </w:t>
      </w:r>
      <w:r w:rsidR="00A326C3">
        <w:rPr>
          <w:lang w:val="en-CA"/>
        </w:rPr>
        <w:t>offering</w:t>
      </w:r>
      <w:r w:rsidR="00A50DBB">
        <w:rPr>
          <w:lang w:val="en-CA"/>
        </w:rPr>
        <w:t xml:space="preserve"> </w:t>
      </w:r>
      <w:r w:rsidR="00E92AF6">
        <w:rPr>
          <w:lang w:val="en-CA"/>
        </w:rPr>
        <w:t xml:space="preserve">some or </w:t>
      </w:r>
      <w:proofErr w:type="gramStart"/>
      <w:r w:rsidR="00E92AF6">
        <w:rPr>
          <w:lang w:val="en-CA"/>
        </w:rPr>
        <w:t>all of</w:t>
      </w:r>
      <w:proofErr w:type="gramEnd"/>
      <w:r w:rsidR="00E92AF6">
        <w:rPr>
          <w:lang w:val="en-CA"/>
        </w:rPr>
        <w:t xml:space="preserve"> their </w:t>
      </w:r>
      <w:r w:rsidR="10A1422C" w:rsidRPr="6572A1C6">
        <w:rPr>
          <w:lang w:val="en-CA"/>
        </w:rPr>
        <w:t>credit</w:t>
      </w:r>
      <w:r w:rsidR="00A326C3">
        <w:rPr>
          <w:lang w:val="en-CA"/>
        </w:rPr>
        <w:t xml:space="preserve">s </w:t>
      </w:r>
      <w:r w:rsidR="00E92AF6">
        <w:rPr>
          <w:lang w:val="en-CA"/>
        </w:rPr>
        <w:t>for sale</w:t>
      </w:r>
      <w:r w:rsidR="10A1422C" w:rsidRPr="6572A1C6">
        <w:rPr>
          <w:lang w:val="en-CA"/>
        </w:rPr>
        <w:t xml:space="preserve">. The credit trading desk should set </w:t>
      </w:r>
      <w:r w:rsidR="003F486D">
        <w:rPr>
          <w:lang w:val="en-CA"/>
        </w:rPr>
        <w:t>the</w:t>
      </w:r>
      <w:r w:rsidR="10A1422C" w:rsidRPr="6572A1C6">
        <w:rPr>
          <w:lang w:val="en-CA"/>
        </w:rPr>
        <w:t xml:space="preserve"> price for trading credits </w:t>
      </w:r>
      <w:r w:rsidR="003F486D">
        <w:rPr>
          <w:lang w:val="en-CA"/>
        </w:rPr>
        <w:t>in accordance with the formula provided</w:t>
      </w:r>
      <w:r w:rsidR="00CD74FA">
        <w:rPr>
          <w:lang w:val="en-CA"/>
        </w:rPr>
        <w:t xml:space="preserve"> pursuant to section 30.7(6) of the ZEV regulations: $20,000 x (CPIA </w:t>
      </w:r>
      <w:r w:rsidR="00E67DD8">
        <w:rPr>
          <w:lang w:val="en-CA"/>
        </w:rPr>
        <w:t>/ CPIB).</w:t>
      </w:r>
      <w:r w:rsidR="003F486D" w:rsidRPr="6572A1C6">
        <w:rPr>
          <w:lang w:val="en-CA"/>
        </w:rPr>
        <w:t xml:space="preserve"> </w:t>
      </w:r>
      <w:r w:rsidR="00356207" w:rsidRPr="004E600A">
        <w:rPr>
          <w:lang w:val="en-CA"/>
        </w:rPr>
        <w:t>Finally, i</w:t>
      </w:r>
      <w:r w:rsidR="10A1422C" w:rsidRPr="004E600A">
        <w:rPr>
          <w:lang w:val="en-CA"/>
        </w:rPr>
        <w:t xml:space="preserve">f the </w:t>
      </w:r>
      <w:r w:rsidR="001D36CB" w:rsidRPr="004E600A">
        <w:rPr>
          <w:lang w:val="en-CA"/>
        </w:rPr>
        <w:t xml:space="preserve">number </w:t>
      </w:r>
      <w:r w:rsidR="10A1422C" w:rsidRPr="004E600A">
        <w:rPr>
          <w:lang w:val="en-CA"/>
        </w:rPr>
        <w:t xml:space="preserve">of </w:t>
      </w:r>
      <w:r w:rsidR="00B43A7D" w:rsidRPr="004E600A">
        <w:rPr>
          <w:lang w:val="en-CA"/>
        </w:rPr>
        <w:t xml:space="preserve">ZEV </w:t>
      </w:r>
      <w:r w:rsidR="10A1422C" w:rsidRPr="004E600A">
        <w:rPr>
          <w:lang w:val="en-CA"/>
        </w:rPr>
        <w:t>credits available for trading is insufficient,</w:t>
      </w:r>
      <w:r w:rsidR="00895F49">
        <w:rPr>
          <w:lang w:val="en-CA"/>
        </w:rPr>
        <w:t xml:space="preserve"> OEMs </w:t>
      </w:r>
      <w:r w:rsidR="00381A8A">
        <w:rPr>
          <w:lang w:val="en-CA"/>
        </w:rPr>
        <w:t xml:space="preserve">could generate credits </w:t>
      </w:r>
      <w:r w:rsidR="00226CD5">
        <w:rPr>
          <w:lang w:val="en-CA"/>
        </w:rPr>
        <w:t>by investing in</w:t>
      </w:r>
      <w:r w:rsidR="00381A8A">
        <w:rPr>
          <w:lang w:val="en-CA"/>
        </w:rPr>
        <w:t xml:space="preserve"> ZEV related activit</w:t>
      </w:r>
      <w:r w:rsidR="00A90EDB">
        <w:rPr>
          <w:lang w:val="en-CA"/>
        </w:rPr>
        <w:t>ies and/or</w:t>
      </w:r>
      <w:r w:rsidR="00F22B88">
        <w:rPr>
          <w:lang w:val="en-CA"/>
        </w:rPr>
        <w:t xml:space="preserve"> purchase</w:t>
      </w:r>
      <w:r w:rsidR="00226CD5">
        <w:rPr>
          <w:lang w:val="en-CA"/>
        </w:rPr>
        <w:t xml:space="preserve"> </w:t>
      </w:r>
      <w:r w:rsidR="00F22B88">
        <w:rPr>
          <w:lang w:val="en-CA"/>
        </w:rPr>
        <w:t>credits from the government through a purchase agreement</w:t>
      </w:r>
      <w:r w:rsidR="10A1422C" w:rsidRPr="004E600A">
        <w:rPr>
          <w:lang w:val="en-CA"/>
        </w:rPr>
        <w:t xml:space="preserve">. </w:t>
      </w:r>
      <w:r w:rsidR="003B1FB9">
        <w:rPr>
          <w:lang w:val="en-CA"/>
        </w:rPr>
        <w:t xml:space="preserve">Whether through investments in ZEV </w:t>
      </w:r>
      <w:r w:rsidR="00705CA4">
        <w:rPr>
          <w:lang w:val="en-CA"/>
        </w:rPr>
        <w:t xml:space="preserve">related activities or through purchase agreement, the price of each credit would be set </w:t>
      </w:r>
      <w:r w:rsidR="00040A31">
        <w:rPr>
          <w:lang w:val="en-CA"/>
        </w:rPr>
        <w:t>to</w:t>
      </w:r>
      <w:r w:rsidR="10A1422C" w:rsidRPr="004E600A">
        <w:rPr>
          <w:lang w:val="en-CA"/>
        </w:rPr>
        <w:t xml:space="preserve"> </w:t>
      </w:r>
      <w:r w:rsidR="00175984">
        <w:rPr>
          <w:lang w:val="en-CA"/>
        </w:rPr>
        <w:t>$20,000 x (CPIA / CPIB)</w:t>
      </w:r>
      <w:r w:rsidR="00040A31">
        <w:rPr>
          <w:lang w:val="en-CA"/>
        </w:rPr>
        <w:t xml:space="preserve">. Finally, OEMs could </w:t>
      </w:r>
      <w:r w:rsidR="00D732E6">
        <w:rPr>
          <w:lang w:val="en-CA"/>
        </w:rPr>
        <w:t>use</w:t>
      </w:r>
      <w:r w:rsidR="00226CD5">
        <w:rPr>
          <w:lang w:val="en-CA"/>
        </w:rPr>
        <w:t xml:space="preserve"> </w:t>
      </w:r>
      <w:r w:rsidR="00B80CD8" w:rsidRPr="004E600A">
        <w:rPr>
          <w:lang w:val="en-CA"/>
        </w:rPr>
        <w:t>the flexibility of carrying a maximum of 10% of their obligations int</w:t>
      </w:r>
      <w:r w:rsidR="002A203E" w:rsidRPr="004E600A">
        <w:rPr>
          <w:lang w:val="en-CA"/>
        </w:rPr>
        <w:t>o the next year</w:t>
      </w:r>
      <w:r w:rsidR="10A1422C" w:rsidRPr="004E600A">
        <w:rPr>
          <w:lang w:val="en-CA"/>
        </w:rPr>
        <w:t>.</w:t>
      </w:r>
      <w:r w:rsidR="00B80CD8" w:rsidRPr="004E600A">
        <w:rPr>
          <w:lang w:val="en-CA"/>
        </w:rPr>
        <w:t xml:space="preserve"> </w:t>
      </w:r>
      <w:r w:rsidR="002A203E" w:rsidRPr="004E600A">
        <w:rPr>
          <w:lang w:val="en-CA"/>
        </w:rPr>
        <w:t xml:space="preserve">If </w:t>
      </w:r>
      <w:r w:rsidR="10A1422C" w:rsidRPr="004E600A">
        <w:rPr>
          <w:lang w:val="en-CA"/>
        </w:rPr>
        <w:t xml:space="preserve">possible, revenues generated </w:t>
      </w:r>
      <w:r w:rsidR="002A7653" w:rsidRPr="004E600A">
        <w:rPr>
          <w:lang w:val="en-CA"/>
        </w:rPr>
        <w:t xml:space="preserve">within the credit </w:t>
      </w:r>
      <w:r w:rsidR="083FA7DD" w:rsidRPr="004E600A">
        <w:rPr>
          <w:lang w:val="en-CA"/>
        </w:rPr>
        <w:t>purch</w:t>
      </w:r>
      <w:r w:rsidR="083FA7DD" w:rsidRPr="6572A1C6">
        <w:rPr>
          <w:lang w:val="en-CA"/>
        </w:rPr>
        <w:t>ase agreement mechanism</w:t>
      </w:r>
      <w:r w:rsidR="10A1422C" w:rsidRPr="6572A1C6">
        <w:rPr>
          <w:lang w:val="en-CA"/>
        </w:rPr>
        <w:t xml:space="preserve"> </w:t>
      </w:r>
      <w:r w:rsidR="10A1422C" w:rsidRPr="6572A1C6">
        <w:rPr>
          <w:color w:val="000000" w:themeColor="text1"/>
          <w:lang w:val="en-CA"/>
        </w:rPr>
        <w:t>should be</w:t>
      </w:r>
      <w:r w:rsidR="10A1422C" w:rsidRPr="00DE1E0E">
        <w:rPr>
          <w:color w:val="FF0000"/>
          <w:lang w:val="en-CA"/>
        </w:rPr>
        <w:t xml:space="preserve"> </w:t>
      </w:r>
      <w:r w:rsidR="10A1422C" w:rsidRPr="008C5D3F">
        <w:rPr>
          <w:lang w:val="en-CA"/>
        </w:rPr>
        <w:t xml:space="preserve">earmarked </w:t>
      </w:r>
      <w:r w:rsidR="10A1422C" w:rsidRPr="6572A1C6">
        <w:rPr>
          <w:color w:val="000000" w:themeColor="text1"/>
          <w:lang w:val="en-CA"/>
        </w:rPr>
        <w:t xml:space="preserve">for </w:t>
      </w:r>
      <w:r w:rsidR="00AD389D">
        <w:rPr>
          <w:color w:val="000000" w:themeColor="text1"/>
          <w:lang w:val="en-CA"/>
        </w:rPr>
        <w:t xml:space="preserve">eligible </w:t>
      </w:r>
      <w:r w:rsidR="10A1422C" w:rsidRPr="6572A1C6">
        <w:rPr>
          <w:color w:val="000000" w:themeColor="text1"/>
          <w:lang w:val="en-CA"/>
        </w:rPr>
        <w:t xml:space="preserve">ZEV related government programs such as light-duty streams of ZEVIP, ZEVAI or </w:t>
      </w:r>
      <w:r w:rsidR="10A1422C" w:rsidRPr="6572A1C6">
        <w:rPr>
          <w:lang w:val="en-CA"/>
        </w:rPr>
        <w:t>iZEV.</w:t>
      </w:r>
      <w:r w:rsidRPr="6572A1C6">
        <w:rPr>
          <w:lang w:val="en-CA"/>
        </w:rPr>
        <w:t xml:space="preserve"> </w:t>
      </w:r>
      <w:r w:rsidR="005E4D60">
        <w:rPr>
          <w:lang w:val="en-CA"/>
        </w:rPr>
        <w:t xml:space="preserve">An automaker that participates in the credit clearance mechanism in 2 consecutive years </w:t>
      </w:r>
      <w:r w:rsidR="005E4D60">
        <w:rPr>
          <w:lang w:val="en-CA"/>
        </w:rPr>
        <w:lastRenderedPageBreak/>
        <w:t>should be required to submit a compliance plan</w:t>
      </w:r>
      <w:r w:rsidR="005F7D51">
        <w:rPr>
          <w:rStyle w:val="FootnoteReference"/>
          <w:lang w:val="en-CA"/>
        </w:rPr>
        <w:footnoteReference w:id="12"/>
      </w:r>
      <w:r w:rsidR="005E4D60">
        <w:rPr>
          <w:lang w:val="en-CA"/>
        </w:rPr>
        <w:t xml:space="preserve"> detailing how they will obtain sufficient credits to meet future annual compliance obligations</w:t>
      </w:r>
      <w:r w:rsidR="00B315EC">
        <w:rPr>
          <w:lang w:val="en-CA"/>
        </w:rPr>
        <w:t xml:space="preserve"> (without resorting to the credit clearance mechanism).</w:t>
      </w:r>
      <w:r w:rsidR="00D732E6">
        <w:rPr>
          <w:lang w:val="en-CA"/>
        </w:rPr>
        <w:t xml:space="preserve"> </w:t>
      </w:r>
      <w:r w:rsidR="002665EA">
        <w:rPr>
          <w:lang w:val="en-CA"/>
        </w:rPr>
        <w:t>As for ZEV related activities, EMC recommends that</w:t>
      </w:r>
      <w:r w:rsidR="00E07EAC">
        <w:rPr>
          <w:lang w:val="en-CA"/>
        </w:rPr>
        <w:t xml:space="preserve"> </w:t>
      </w:r>
      <w:r w:rsidR="00FF4ED7">
        <w:rPr>
          <w:lang w:val="en-CA"/>
        </w:rPr>
        <w:t xml:space="preserve">investments in </w:t>
      </w:r>
      <w:r w:rsidR="00E07EAC">
        <w:rPr>
          <w:lang w:val="en-CA"/>
        </w:rPr>
        <w:t>charging</w:t>
      </w:r>
      <w:r w:rsidR="002665EA">
        <w:rPr>
          <w:lang w:val="en-CA"/>
        </w:rPr>
        <w:t xml:space="preserve"> </w:t>
      </w:r>
      <w:r w:rsidR="00E07EAC">
        <w:rPr>
          <w:lang w:val="en-CA"/>
        </w:rPr>
        <w:t>infrastructure be the only eligible activi</w:t>
      </w:r>
      <w:r w:rsidR="00144055">
        <w:rPr>
          <w:lang w:val="en-CA"/>
        </w:rPr>
        <w:t>ty.</w:t>
      </w:r>
    </w:p>
    <w:p w14:paraId="0C3300F5" w14:textId="77777777" w:rsidR="004E600A" w:rsidRPr="00500BCC" w:rsidRDefault="004E600A" w:rsidP="328FA3CE">
      <w:pPr>
        <w:pStyle w:val="NoSpacing"/>
        <w:rPr>
          <w:lang w:val="en-CA"/>
        </w:rPr>
      </w:pPr>
    </w:p>
    <w:p w14:paraId="458D507A" w14:textId="0A8A7D79" w:rsidR="00356207" w:rsidRPr="00500BCC" w:rsidRDefault="00356207" w:rsidP="328FA3CE">
      <w:pPr>
        <w:pStyle w:val="NoSpacing"/>
        <w:rPr>
          <w:b/>
          <w:bCs/>
          <w:lang w:val="en-CA"/>
        </w:rPr>
      </w:pPr>
      <w:r w:rsidRPr="00500BCC">
        <w:rPr>
          <w:b/>
          <w:bCs/>
          <w:lang w:val="en-CA"/>
        </w:rPr>
        <w:t xml:space="preserve">TABLE 4 –Credit clearance mechanism pathway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1"/>
        <w:gridCol w:w="2697"/>
        <w:gridCol w:w="2697"/>
        <w:gridCol w:w="2695"/>
      </w:tblGrid>
      <w:tr w:rsidR="00E206B2" w:rsidRPr="002A4ED0" w14:paraId="4AC60E3A" w14:textId="77777777" w:rsidTr="002A4ED0">
        <w:tc>
          <w:tcPr>
            <w:tcW w:w="984" w:type="pct"/>
            <w:shd w:val="clear" w:color="auto" w:fill="C5E0B3" w:themeFill="accent6" w:themeFillTint="66"/>
          </w:tcPr>
          <w:p w14:paraId="5482B14E" w14:textId="50345DAC" w:rsidR="00E206B2" w:rsidRPr="002A4ED0" w:rsidRDefault="00E206B2" w:rsidP="328FA3CE">
            <w:pPr>
              <w:pStyle w:val="NoSpacing"/>
              <w:rPr>
                <w:b/>
                <w:bCs/>
                <w:sz w:val="20"/>
                <w:szCs w:val="20"/>
                <w:lang w:val="en-CA"/>
              </w:rPr>
            </w:pPr>
            <w:r w:rsidRPr="002A4ED0">
              <w:rPr>
                <w:b/>
                <w:bCs/>
                <w:sz w:val="20"/>
                <w:szCs w:val="20"/>
                <w:lang w:val="en-CA"/>
              </w:rPr>
              <w:t xml:space="preserve">OEM situation </w:t>
            </w:r>
          </w:p>
        </w:tc>
        <w:tc>
          <w:tcPr>
            <w:tcW w:w="1339" w:type="pct"/>
            <w:shd w:val="clear" w:color="auto" w:fill="C5E0B3" w:themeFill="accent6" w:themeFillTint="66"/>
          </w:tcPr>
          <w:p w14:paraId="7F50592B" w14:textId="165D1A29" w:rsidR="00E206B2" w:rsidRPr="002A4ED0" w:rsidRDefault="00E206B2" w:rsidP="00E87FA9">
            <w:pPr>
              <w:pStyle w:val="NoSpacing"/>
              <w:jc w:val="left"/>
              <w:rPr>
                <w:b/>
                <w:bCs/>
                <w:sz w:val="20"/>
                <w:szCs w:val="20"/>
                <w:lang w:val="en-CA"/>
              </w:rPr>
            </w:pPr>
            <w:r w:rsidRPr="002A4ED0">
              <w:rPr>
                <w:b/>
                <w:bCs/>
                <w:sz w:val="20"/>
                <w:szCs w:val="20"/>
                <w:lang w:val="en-CA"/>
              </w:rPr>
              <w:t>Stage 1</w:t>
            </w:r>
            <w:r w:rsidR="0054425E" w:rsidRPr="002A4ED0">
              <w:rPr>
                <w:b/>
                <w:bCs/>
                <w:sz w:val="20"/>
                <w:szCs w:val="20"/>
                <w:lang w:val="en-CA"/>
              </w:rPr>
              <w:t xml:space="preserve"> </w:t>
            </w:r>
            <w:r w:rsidR="000703F8" w:rsidRPr="002A4ED0">
              <w:rPr>
                <w:b/>
                <w:bCs/>
                <w:sz w:val="20"/>
                <w:szCs w:val="20"/>
                <w:lang w:val="en-CA"/>
              </w:rPr>
              <w:t xml:space="preserve">- </w:t>
            </w:r>
            <w:r w:rsidR="0054425E" w:rsidRPr="002A4ED0">
              <w:rPr>
                <w:b/>
                <w:bCs/>
                <w:sz w:val="20"/>
                <w:szCs w:val="20"/>
                <w:lang w:val="en-CA"/>
              </w:rPr>
              <w:t xml:space="preserve">Credit </w:t>
            </w:r>
            <w:r w:rsidR="4A3CD03F" w:rsidRPr="002A4ED0">
              <w:rPr>
                <w:b/>
                <w:bCs/>
                <w:sz w:val="20"/>
                <w:szCs w:val="20"/>
                <w:lang w:val="en-CA"/>
              </w:rPr>
              <w:t>clearance</w:t>
            </w:r>
            <w:r w:rsidR="4023AB38" w:rsidRPr="002A4ED0">
              <w:rPr>
                <w:b/>
                <w:bCs/>
                <w:sz w:val="20"/>
                <w:szCs w:val="20"/>
                <w:lang w:val="en-CA"/>
              </w:rPr>
              <w:t xml:space="preserve"> mechanism</w:t>
            </w:r>
          </w:p>
        </w:tc>
        <w:tc>
          <w:tcPr>
            <w:tcW w:w="1339" w:type="pct"/>
            <w:shd w:val="clear" w:color="auto" w:fill="C5E0B3" w:themeFill="accent6" w:themeFillTint="66"/>
          </w:tcPr>
          <w:p w14:paraId="4879CD1E" w14:textId="42E77280" w:rsidR="00E206B2" w:rsidRPr="002A4ED0" w:rsidRDefault="00E206B2" w:rsidP="00E87FA9">
            <w:pPr>
              <w:pStyle w:val="NoSpacing"/>
              <w:jc w:val="left"/>
              <w:rPr>
                <w:b/>
                <w:bCs/>
                <w:sz w:val="20"/>
                <w:szCs w:val="20"/>
                <w:lang w:val="en-CA"/>
              </w:rPr>
            </w:pPr>
            <w:r w:rsidRPr="002A4ED0">
              <w:rPr>
                <w:b/>
                <w:bCs/>
                <w:sz w:val="20"/>
                <w:szCs w:val="20"/>
                <w:lang w:val="en-CA"/>
              </w:rPr>
              <w:t xml:space="preserve">Stage 2 </w:t>
            </w:r>
            <w:r w:rsidR="00144055" w:rsidRPr="002A4ED0">
              <w:rPr>
                <w:b/>
                <w:bCs/>
                <w:sz w:val="20"/>
                <w:szCs w:val="20"/>
                <w:lang w:val="en-CA"/>
              </w:rPr>
              <w:t>–</w:t>
            </w:r>
            <w:r w:rsidR="000703F8" w:rsidRPr="002A4ED0">
              <w:rPr>
                <w:b/>
                <w:bCs/>
                <w:sz w:val="20"/>
                <w:szCs w:val="20"/>
                <w:lang w:val="en-CA"/>
              </w:rPr>
              <w:t xml:space="preserve"> </w:t>
            </w:r>
            <w:r w:rsidR="00144055" w:rsidRPr="002A4ED0">
              <w:rPr>
                <w:b/>
                <w:bCs/>
                <w:sz w:val="20"/>
                <w:szCs w:val="20"/>
                <w:lang w:val="en-CA"/>
              </w:rPr>
              <w:t>Invest</w:t>
            </w:r>
            <w:r w:rsidR="00A22BC4" w:rsidRPr="002A4ED0">
              <w:rPr>
                <w:b/>
                <w:bCs/>
                <w:sz w:val="20"/>
                <w:szCs w:val="20"/>
                <w:lang w:val="en-CA"/>
              </w:rPr>
              <w:t>ment</w:t>
            </w:r>
            <w:r w:rsidR="00144055" w:rsidRPr="002A4ED0">
              <w:rPr>
                <w:b/>
                <w:bCs/>
                <w:sz w:val="20"/>
                <w:szCs w:val="20"/>
                <w:lang w:val="en-CA"/>
              </w:rPr>
              <w:t xml:space="preserve"> in ZEV</w:t>
            </w:r>
            <w:r w:rsidR="00A22BC4" w:rsidRPr="002A4ED0">
              <w:rPr>
                <w:b/>
                <w:bCs/>
                <w:sz w:val="20"/>
                <w:szCs w:val="20"/>
                <w:lang w:val="en-CA"/>
              </w:rPr>
              <w:t xml:space="preserve"> </w:t>
            </w:r>
            <w:r w:rsidR="00144055" w:rsidRPr="002A4ED0">
              <w:rPr>
                <w:b/>
                <w:bCs/>
                <w:sz w:val="20"/>
                <w:szCs w:val="20"/>
                <w:lang w:val="en-CA"/>
              </w:rPr>
              <w:t>related activity</w:t>
            </w:r>
            <w:r w:rsidR="00A22BC4" w:rsidRPr="002A4ED0">
              <w:rPr>
                <w:b/>
                <w:bCs/>
                <w:sz w:val="20"/>
                <w:szCs w:val="20"/>
                <w:lang w:val="en-CA"/>
              </w:rPr>
              <w:t xml:space="preserve"> AND/</w:t>
            </w:r>
            <w:r w:rsidR="00144055" w:rsidRPr="002A4ED0">
              <w:rPr>
                <w:b/>
                <w:bCs/>
                <w:sz w:val="20"/>
                <w:szCs w:val="20"/>
                <w:lang w:val="en-CA"/>
              </w:rPr>
              <w:t xml:space="preserve">OR </w:t>
            </w:r>
            <w:r w:rsidR="0054425E" w:rsidRPr="002A4ED0">
              <w:rPr>
                <w:b/>
                <w:bCs/>
                <w:sz w:val="20"/>
                <w:szCs w:val="20"/>
                <w:lang w:val="en-CA"/>
              </w:rPr>
              <w:t xml:space="preserve">Credit </w:t>
            </w:r>
            <w:r w:rsidR="71E32BF6" w:rsidRPr="002A4ED0">
              <w:rPr>
                <w:b/>
                <w:bCs/>
                <w:sz w:val="20"/>
                <w:szCs w:val="20"/>
                <w:lang w:val="en-CA"/>
              </w:rPr>
              <w:t>purchase</w:t>
            </w:r>
            <w:r w:rsidR="69355BEF" w:rsidRPr="002A4ED0">
              <w:rPr>
                <w:b/>
                <w:bCs/>
                <w:sz w:val="20"/>
                <w:szCs w:val="20"/>
                <w:lang w:val="en-CA"/>
              </w:rPr>
              <w:t xml:space="preserve"> agreements</w:t>
            </w:r>
          </w:p>
        </w:tc>
        <w:tc>
          <w:tcPr>
            <w:tcW w:w="1339" w:type="pct"/>
            <w:shd w:val="clear" w:color="auto" w:fill="C5E0B3" w:themeFill="accent6" w:themeFillTint="66"/>
          </w:tcPr>
          <w:p w14:paraId="03BED38A" w14:textId="3787040D" w:rsidR="00E206B2" w:rsidRPr="002A4ED0" w:rsidRDefault="00E206B2" w:rsidP="00E87FA9">
            <w:pPr>
              <w:pStyle w:val="NoSpacing"/>
              <w:jc w:val="left"/>
              <w:rPr>
                <w:b/>
                <w:bCs/>
                <w:sz w:val="20"/>
                <w:szCs w:val="20"/>
                <w:lang w:val="en-CA"/>
              </w:rPr>
            </w:pPr>
            <w:r w:rsidRPr="002A4ED0">
              <w:rPr>
                <w:b/>
                <w:bCs/>
                <w:sz w:val="20"/>
                <w:szCs w:val="20"/>
                <w:lang w:val="en-CA"/>
              </w:rPr>
              <w:t>Stage 3</w:t>
            </w:r>
            <w:r w:rsidR="0054425E" w:rsidRPr="002A4ED0">
              <w:rPr>
                <w:b/>
                <w:bCs/>
                <w:sz w:val="20"/>
                <w:szCs w:val="20"/>
                <w:lang w:val="en-CA"/>
              </w:rPr>
              <w:t xml:space="preserve"> – Deficit </w:t>
            </w:r>
            <w:r w:rsidR="007A79D8" w:rsidRPr="002A4ED0">
              <w:rPr>
                <w:b/>
                <w:bCs/>
                <w:sz w:val="20"/>
                <w:szCs w:val="20"/>
                <w:lang w:val="en-CA"/>
              </w:rPr>
              <w:t>deferral</w:t>
            </w:r>
          </w:p>
        </w:tc>
      </w:tr>
      <w:tr w:rsidR="00E206B2" w:rsidRPr="008E7E6B" w14:paraId="3F2DF620" w14:textId="77777777" w:rsidTr="002A4ED0">
        <w:tc>
          <w:tcPr>
            <w:tcW w:w="984" w:type="pct"/>
          </w:tcPr>
          <w:p w14:paraId="143CA7D2" w14:textId="48A4154E" w:rsidR="00E206B2" w:rsidRPr="008E7E6B" w:rsidRDefault="00E206B2" w:rsidP="00356207">
            <w:pPr>
              <w:pStyle w:val="NoSpacing"/>
              <w:jc w:val="left"/>
              <w:rPr>
                <w:sz w:val="20"/>
                <w:szCs w:val="20"/>
                <w:lang w:val="en-CA"/>
              </w:rPr>
            </w:pPr>
            <w:r w:rsidRPr="008E7E6B">
              <w:rPr>
                <w:sz w:val="20"/>
                <w:szCs w:val="20"/>
                <w:lang w:val="en-CA"/>
              </w:rPr>
              <w:t>Compliance Deficit</w:t>
            </w:r>
          </w:p>
        </w:tc>
        <w:tc>
          <w:tcPr>
            <w:tcW w:w="1339" w:type="pct"/>
          </w:tcPr>
          <w:p w14:paraId="4B45BD1A" w14:textId="44207663" w:rsidR="00E206B2" w:rsidRPr="008E7E6B" w:rsidRDefault="135E4D32" w:rsidP="000703F8">
            <w:pPr>
              <w:pStyle w:val="NoSpacing"/>
              <w:jc w:val="left"/>
              <w:rPr>
                <w:sz w:val="20"/>
                <w:szCs w:val="20"/>
                <w:lang w:val="en-CA"/>
              </w:rPr>
            </w:pPr>
            <w:r w:rsidRPr="2B5C478F">
              <w:rPr>
                <w:sz w:val="20"/>
                <w:szCs w:val="20"/>
                <w:lang w:val="en-CA"/>
              </w:rPr>
              <w:t>Buy ZEV credits through the Credit desk</w:t>
            </w:r>
            <w:r w:rsidR="00144055">
              <w:rPr>
                <w:sz w:val="20"/>
                <w:szCs w:val="20"/>
                <w:lang w:val="en-CA"/>
              </w:rPr>
              <w:t>.</w:t>
            </w:r>
          </w:p>
        </w:tc>
        <w:tc>
          <w:tcPr>
            <w:tcW w:w="1339" w:type="pct"/>
          </w:tcPr>
          <w:p w14:paraId="2A34D495" w14:textId="137F62ED" w:rsidR="00FF4ED7" w:rsidRDefault="00FF4ED7" w:rsidP="000703F8">
            <w:pPr>
              <w:pStyle w:val="NoSpacing"/>
              <w:jc w:val="left"/>
              <w:rPr>
                <w:sz w:val="20"/>
                <w:szCs w:val="20"/>
                <w:lang w:val="en-CA"/>
              </w:rPr>
            </w:pPr>
            <w:r>
              <w:rPr>
                <w:sz w:val="20"/>
                <w:szCs w:val="20"/>
                <w:lang w:val="en-CA"/>
              </w:rPr>
              <w:t>I</w:t>
            </w:r>
            <w:r w:rsidR="00542F83">
              <w:rPr>
                <w:sz w:val="20"/>
                <w:szCs w:val="20"/>
                <w:lang w:val="en-CA"/>
              </w:rPr>
              <w:t xml:space="preserve">nvestments in Charging Infrastructure. </w:t>
            </w:r>
          </w:p>
          <w:p w14:paraId="4D7460CA" w14:textId="0C7BE448" w:rsidR="00E206B2" w:rsidRPr="008E7E6B" w:rsidRDefault="164AB7A2" w:rsidP="000703F8">
            <w:pPr>
              <w:pStyle w:val="NoSpacing"/>
              <w:jc w:val="left"/>
              <w:rPr>
                <w:sz w:val="20"/>
                <w:szCs w:val="20"/>
                <w:lang w:val="en-CA"/>
              </w:rPr>
            </w:pPr>
            <w:r w:rsidRPr="6572A1C6">
              <w:rPr>
                <w:sz w:val="20"/>
                <w:szCs w:val="20"/>
                <w:lang w:val="en-CA"/>
              </w:rPr>
              <w:t>Credit purchase agreements</w:t>
            </w:r>
            <w:r w:rsidR="00FF4ED7">
              <w:rPr>
                <w:sz w:val="20"/>
                <w:szCs w:val="20"/>
                <w:lang w:val="en-CA"/>
              </w:rPr>
              <w:t>.</w:t>
            </w:r>
            <w:r w:rsidR="00E206B2" w:rsidRPr="6572A1C6">
              <w:rPr>
                <w:sz w:val="20"/>
                <w:szCs w:val="20"/>
                <w:lang w:val="en-CA"/>
              </w:rPr>
              <w:t xml:space="preserve"> </w:t>
            </w:r>
          </w:p>
        </w:tc>
        <w:tc>
          <w:tcPr>
            <w:tcW w:w="1339" w:type="pct"/>
          </w:tcPr>
          <w:p w14:paraId="04B21721" w14:textId="5EEF46BF" w:rsidR="00E206B2" w:rsidRPr="008E7E6B" w:rsidRDefault="00E206B2" w:rsidP="000703F8">
            <w:pPr>
              <w:pStyle w:val="NoSpacing"/>
              <w:jc w:val="left"/>
              <w:rPr>
                <w:sz w:val="20"/>
                <w:szCs w:val="20"/>
                <w:lang w:val="en-CA"/>
              </w:rPr>
            </w:pPr>
            <w:r w:rsidRPr="008E7E6B">
              <w:rPr>
                <w:sz w:val="20"/>
                <w:szCs w:val="20"/>
                <w:lang w:val="en-CA"/>
              </w:rPr>
              <w:t>Use deficit deferral clause (capped at 10% of compliance obligation)</w:t>
            </w:r>
          </w:p>
        </w:tc>
      </w:tr>
      <w:tr w:rsidR="00E206B2" w:rsidRPr="008E7E6B" w14:paraId="6D974EF6" w14:textId="77777777" w:rsidTr="002A4ED0">
        <w:tc>
          <w:tcPr>
            <w:tcW w:w="984" w:type="pct"/>
          </w:tcPr>
          <w:p w14:paraId="635F15E4" w14:textId="77777777" w:rsidR="007A79D8" w:rsidRPr="008E7E6B" w:rsidRDefault="00E206B2" w:rsidP="00356207">
            <w:pPr>
              <w:pStyle w:val="NoSpacing"/>
              <w:jc w:val="left"/>
              <w:rPr>
                <w:sz w:val="20"/>
                <w:szCs w:val="20"/>
                <w:lang w:val="en-CA"/>
              </w:rPr>
            </w:pPr>
            <w:r w:rsidRPr="008E7E6B">
              <w:rPr>
                <w:sz w:val="20"/>
                <w:szCs w:val="20"/>
                <w:lang w:val="en-CA"/>
              </w:rPr>
              <w:t xml:space="preserve">Compliance </w:t>
            </w:r>
          </w:p>
          <w:p w14:paraId="5A237579" w14:textId="77777777" w:rsidR="007A79D8" w:rsidRPr="008E7E6B" w:rsidRDefault="00E206B2" w:rsidP="00356207">
            <w:pPr>
              <w:pStyle w:val="NoSpacing"/>
              <w:jc w:val="left"/>
              <w:rPr>
                <w:sz w:val="20"/>
                <w:szCs w:val="20"/>
                <w:lang w:val="en-CA"/>
              </w:rPr>
            </w:pPr>
            <w:r w:rsidRPr="008E7E6B">
              <w:rPr>
                <w:sz w:val="20"/>
                <w:szCs w:val="20"/>
                <w:lang w:val="en-CA"/>
              </w:rPr>
              <w:t xml:space="preserve">or </w:t>
            </w:r>
          </w:p>
          <w:p w14:paraId="3169FD8E" w14:textId="51D7AD62" w:rsidR="00E206B2" w:rsidRPr="008E7E6B" w:rsidRDefault="00E206B2" w:rsidP="00356207">
            <w:pPr>
              <w:pStyle w:val="NoSpacing"/>
              <w:jc w:val="left"/>
              <w:rPr>
                <w:sz w:val="20"/>
                <w:szCs w:val="20"/>
                <w:lang w:val="en-CA"/>
              </w:rPr>
            </w:pPr>
            <w:r w:rsidRPr="008E7E6B">
              <w:rPr>
                <w:sz w:val="20"/>
                <w:szCs w:val="20"/>
                <w:lang w:val="en-CA"/>
              </w:rPr>
              <w:t xml:space="preserve">over-compliance </w:t>
            </w:r>
          </w:p>
        </w:tc>
        <w:tc>
          <w:tcPr>
            <w:tcW w:w="1339" w:type="pct"/>
          </w:tcPr>
          <w:p w14:paraId="55A931EF" w14:textId="512016A6" w:rsidR="00E206B2" w:rsidRPr="008E7E6B" w:rsidRDefault="00144055" w:rsidP="000703F8">
            <w:pPr>
              <w:pStyle w:val="NoSpacing"/>
              <w:jc w:val="left"/>
              <w:rPr>
                <w:sz w:val="20"/>
                <w:szCs w:val="20"/>
                <w:lang w:val="en-CA"/>
              </w:rPr>
            </w:pPr>
            <w:r>
              <w:rPr>
                <w:sz w:val="20"/>
                <w:szCs w:val="20"/>
                <w:lang w:val="en-CA"/>
              </w:rPr>
              <w:t>Sell some or all</w:t>
            </w:r>
            <w:r w:rsidR="00E206B2" w:rsidRPr="6572A1C6">
              <w:rPr>
                <w:sz w:val="20"/>
                <w:szCs w:val="20"/>
                <w:lang w:val="en-CA"/>
              </w:rPr>
              <w:t xml:space="preserve"> </w:t>
            </w:r>
            <w:r w:rsidR="516CF553" w:rsidRPr="6572A1C6">
              <w:rPr>
                <w:sz w:val="20"/>
                <w:szCs w:val="20"/>
                <w:lang w:val="en-CA"/>
              </w:rPr>
              <w:t>surplus</w:t>
            </w:r>
            <w:r w:rsidR="45296D27" w:rsidRPr="6572A1C6">
              <w:rPr>
                <w:sz w:val="20"/>
                <w:szCs w:val="20"/>
                <w:lang w:val="en-CA"/>
              </w:rPr>
              <w:t xml:space="preserve"> </w:t>
            </w:r>
            <w:r w:rsidR="00E206B2" w:rsidRPr="6572A1C6">
              <w:rPr>
                <w:sz w:val="20"/>
                <w:szCs w:val="20"/>
                <w:lang w:val="en-CA"/>
              </w:rPr>
              <w:t>ZEV credits through the Credit desk.</w:t>
            </w:r>
          </w:p>
        </w:tc>
        <w:tc>
          <w:tcPr>
            <w:tcW w:w="1339" w:type="pct"/>
          </w:tcPr>
          <w:p w14:paraId="56ED7EC8" w14:textId="250F6DCA" w:rsidR="00E206B2" w:rsidRPr="008E7E6B" w:rsidRDefault="00E206B2" w:rsidP="000703F8">
            <w:pPr>
              <w:pStyle w:val="NoSpacing"/>
              <w:jc w:val="left"/>
              <w:rPr>
                <w:sz w:val="20"/>
                <w:szCs w:val="20"/>
                <w:lang w:val="en-CA"/>
              </w:rPr>
            </w:pPr>
          </w:p>
        </w:tc>
        <w:tc>
          <w:tcPr>
            <w:tcW w:w="1339" w:type="pct"/>
          </w:tcPr>
          <w:p w14:paraId="70259A24" w14:textId="6617406C" w:rsidR="00E206B2" w:rsidRPr="008E7E6B" w:rsidRDefault="00E206B2" w:rsidP="000703F8">
            <w:pPr>
              <w:pStyle w:val="NoSpacing"/>
              <w:jc w:val="left"/>
              <w:rPr>
                <w:sz w:val="20"/>
                <w:szCs w:val="20"/>
                <w:lang w:val="en-CA"/>
              </w:rPr>
            </w:pPr>
          </w:p>
        </w:tc>
      </w:tr>
    </w:tbl>
    <w:p w14:paraId="3028C4D0" w14:textId="77777777" w:rsidR="00356207" w:rsidRPr="00500BCC" w:rsidRDefault="00356207" w:rsidP="328FA3CE">
      <w:pPr>
        <w:pStyle w:val="NoSpacing"/>
        <w:rPr>
          <w:lang w:val="en-CA"/>
        </w:rPr>
      </w:pPr>
    </w:p>
    <w:p w14:paraId="60E17BE3" w14:textId="7A090216" w:rsidR="00A041F6" w:rsidRPr="00500BCC" w:rsidRDefault="002958E6" w:rsidP="00A041F6">
      <w:pPr>
        <w:pStyle w:val="NoSpacing"/>
        <w:rPr>
          <w:lang w:val="en-CA"/>
        </w:rPr>
      </w:pPr>
      <w:r w:rsidRPr="00500BCC">
        <w:rPr>
          <w:lang w:val="en-CA"/>
        </w:rPr>
        <w:t xml:space="preserve">As an alternative to the solution proposed in the above </w:t>
      </w:r>
      <w:r w:rsidR="001548FA" w:rsidRPr="00500BCC">
        <w:rPr>
          <w:lang w:val="en-CA"/>
        </w:rPr>
        <w:t>paragraph</w:t>
      </w:r>
      <w:r w:rsidRPr="00500BCC">
        <w:rPr>
          <w:lang w:val="en-CA"/>
        </w:rPr>
        <w:t xml:space="preserve">, </w:t>
      </w:r>
      <w:r w:rsidR="00A041F6" w:rsidRPr="00500BCC">
        <w:rPr>
          <w:lang w:val="en-CA"/>
        </w:rPr>
        <w:t xml:space="preserve">EMC </w:t>
      </w:r>
      <w:r w:rsidR="00ED1828" w:rsidRPr="00500BCC">
        <w:rPr>
          <w:lang w:val="en-CA"/>
        </w:rPr>
        <w:t xml:space="preserve">recommends that deficits be limited to </w:t>
      </w:r>
      <w:r w:rsidR="00A041F6" w:rsidRPr="00500BCC">
        <w:rPr>
          <w:lang w:val="en-CA"/>
        </w:rPr>
        <w:t xml:space="preserve">a grace period of 1 year instead of 3: automakers should be required to discharge the deficit of a given year within the following year, by selling more ZEVs or through credit trading. After that grace period, </w:t>
      </w:r>
      <w:r w:rsidR="00ED1828" w:rsidRPr="00500BCC">
        <w:rPr>
          <w:lang w:val="en-CA"/>
        </w:rPr>
        <w:t xml:space="preserve">an automaker </w:t>
      </w:r>
      <w:r w:rsidR="001548FA" w:rsidRPr="00500BCC">
        <w:rPr>
          <w:lang w:val="en-CA"/>
        </w:rPr>
        <w:t xml:space="preserve">with </w:t>
      </w:r>
      <w:r w:rsidR="00A041F6" w:rsidRPr="00500BCC">
        <w:rPr>
          <w:lang w:val="en-CA"/>
        </w:rPr>
        <w:t xml:space="preserve">any residual deficit would be </w:t>
      </w:r>
      <w:r w:rsidR="001548FA" w:rsidRPr="00500BCC">
        <w:rPr>
          <w:lang w:val="en-CA"/>
        </w:rPr>
        <w:t>in non-compliance</w:t>
      </w:r>
      <w:r w:rsidR="00A041F6" w:rsidRPr="00500BCC">
        <w:rPr>
          <w:lang w:val="en-CA"/>
        </w:rPr>
        <w:t xml:space="preserve">. </w:t>
      </w:r>
    </w:p>
    <w:p w14:paraId="5D9E4675" w14:textId="77777777" w:rsidR="00500BCC" w:rsidRPr="00500BCC" w:rsidRDefault="00500BCC" w:rsidP="00397C89">
      <w:pPr>
        <w:pStyle w:val="NoSpacing"/>
        <w:rPr>
          <w:lang w:val="en-CA"/>
        </w:rPr>
      </w:pPr>
    </w:p>
    <w:p w14:paraId="47930282" w14:textId="72A5553B" w:rsidR="00D13B12" w:rsidRPr="00500BCC" w:rsidRDefault="006011BC" w:rsidP="00AC3B57">
      <w:pPr>
        <w:pStyle w:val="Heading2"/>
      </w:pPr>
      <w:bookmarkStart w:id="39" w:name="_Toc129792109"/>
      <w:bookmarkStart w:id="40" w:name="_Toc1418352647"/>
      <w:bookmarkStart w:id="41" w:name="_Toc128035343"/>
      <w:r w:rsidRPr="00500BCC">
        <w:t>Regulatory development section</w:t>
      </w:r>
      <w:bookmarkEnd w:id="39"/>
      <w:r w:rsidRPr="00500BCC">
        <w:t xml:space="preserve"> </w:t>
      </w:r>
      <w:bookmarkEnd w:id="40"/>
      <w:bookmarkEnd w:id="41"/>
    </w:p>
    <w:p w14:paraId="7FB770E4" w14:textId="025DAA44" w:rsidR="00415694" w:rsidRPr="00500BCC" w:rsidRDefault="00415694" w:rsidP="009C23FD">
      <w:pPr>
        <w:pStyle w:val="NoSpacing"/>
        <w:rPr>
          <w:lang w:val="en-CA"/>
        </w:rPr>
      </w:pPr>
    </w:p>
    <w:p w14:paraId="64C41729" w14:textId="13617B80" w:rsidR="00AF121E" w:rsidRPr="00500BCC" w:rsidRDefault="005A6B42" w:rsidP="00B35D52">
      <w:pPr>
        <w:pStyle w:val="Heading3"/>
      </w:pPr>
      <w:bookmarkStart w:id="42" w:name="_Toc1394050854"/>
      <w:bookmarkStart w:id="43" w:name="_Toc128035344"/>
      <w:bookmarkStart w:id="44" w:name="_Toc129792110"/>
      <w:r w:rsidRPr="00500BCC">
        <w:t xml:space="preserve">Some </w:t>
      </w:r>
      <w:r w:rsidR="007118BB" w:rsidRPr="00500BCC">
        <w:t xml:space="preserve">OEMs </w:t>
      </w:r>
      <w:r w:rsidRPr="00500BCC">
        <w:t>say</w:t>
      </w:r>
      <w:r w:rsidR="007118BB" w:rsidRPr="00500BCC">
        <w:t xml:space="preserve"> they </w:t>
      </w:r>
      <w:r w:rsidR="5BF0FFF2" w:rsidRPr="00500BCC">
        <w:t>will not</w:t>
      </w:r>
      <w:r w:rsidR="007118BB" w:rsidRPr="00500BCC">
        <w:t xml:space="preserve"> be able to reach targets</w:t>
      </w:r>
      <w:bookmarkEnd w:id="42"/>
      <w:bookmarkEnd w:id="43"/>
      <w:bookmarkEnd w:id="44"/>
    </w:p>
    <w:p w14:paraId="5A62EE03" w14:textId="77777777" w:rsidR="007118BB" w:rsidRPr="00500BCC" w:rsidRDefault="007118BB" w:rsidP="007118BB">
      <w:pPr>
        <w:pStyle w:val="NoSpacing"/>
        <w:rPr>
          <w:lang w:val="en-CA"/>
        </w:rPr>
      </w:pPr>
    </w:p>
    <w:p w14:paraId="7FBAC792" w14:textId="2E1F4BE2" w:rsidR="007118BB" w:rsidRPr="00500BCC" w:rsidRDefault="001B0675" w:rsidP="007118BB">
      <w:pPr>
        <w:pStyle w:val="NoSpacing"/>
        <w:rPr>
          <w:lang w:val="en-CA"/>
        </w:rPr>
      </w:pPr>
      <w:r>
        <w:rPr>
          <w:lang w:val="en-CA"/>
        </w:rPr>
        <w:t xml:space="preserve">Some </w:t>
      </w:r>
      <w:r w:rsidR="7D7C30CE" w:rsidRPr="00500BCC">
        <w:rPr>
          <w:lang w:val="en-CA"/>
        </w:rPr>
        <w:t>OEMs have been fighting regulations</w:t>
      </w:r>
      <w:r w:rsidR="3907A75C" w:rsidRPr="00500BCC">
        <w:rPr>
          <w:lang w:val="en-CA"/>
        </w:rPr>
        <w:t xml:space="preserve"> </w:t>
      </w:r>
      <w:r w:rsidR="35A8802E" w:rsidRPr="00500BCC">
        <w:rPr>
          <w:lang w:val="en-CA"/>
        </w:rPr>
        <w:t>for decades</w:t>
      </w:r>
      <w:r w:rsidR="3907A75C" w:rsidRPr="00500BCC">
        <w:rPr>
          <w:lang w:val="en-CA"/>
        </w:rPr>
        <w:t xml:space="preserve"> </w:t>
      </w:r>
      <w:r w:rsidR="35A8802E" w:rsidRPr="00500BCC">
        <w:rPr>
          <w:lang w:val="en-CA"/>
        </w:rPr>
        <w:t>with</w:t>
      </w:r>
      <w:r w:rsidR="3907A75C" w:rsidRPr="00500BCC">
        <w:rPr>
          <w:lang w:val="en-CA"/>
        </w:rPr>
        <w:t xml:space="preserve"> the same arguments</w:t>
      </w:r>
      <w:r w:rsidR="35A8802E" w:rsidRPr="00500BCC">
        <w:rPr>
          <w:lang w:val="en-CA"/>
        </w:rPr>
        <w:t xml:space="preserve">: </w:t>
      </w:r>
      <w:r w:rsidR="35A8802E" w:rsidRPr="007763AF">
        <w:rPr>
          <w:i/>
          <w:iCs/>
          <w:lang w:val="en-CA"/>
        </w:rPr>
        <w:t xml:space="preserve">It </w:t>
      </w:r>
      <w:r w:rsidR="13EFAAA2" w:rsidRPr="007763AF">
        <w:rPr>
          <w:i/>
          <w:iCs/>
          <w:lang w:val="en-CA"/>
        </w:rPr>
        <w:t>cannot</w:t>
      </w:r>
      <w:r w:rsidR="35A8802E" w:rsidRPr="007763AF">
        <w:rPr>
          <w:i/>
          <w:iCs/>
          <w:lang w:val="en-CA"/>
        </w:rPr>
        <w:t xml:space="preserve"> be done</w:t>
      </w:r>
      <w:r w:rsidR="4F50D305" w:rsidRPr="007763AF">
        <w:rPr>
          <w:i/>
          <w:iCs/>
          <w:lang w:val="en-CA"/>
        </w:rPr>
        <w:t>;</w:t>
      </w:r>
      <w:r w:rsidR="35A8802E" w:rsidRPr="007763AF">
        <w:rPr>
          <w:i/>
          <w:iCs/>
          <w:lang w:val="en-CA"/>
        </w:rPr>
        <w:t xml:space="preserve"> It will cost too much</w:t>
      </w:r>
      <w:r w:rsidR="4F50D305" w:rsidRPr="007763AF">
        <w:rPr>
          <w:i/>
          <w:iCs/>
          <w:lang w:val="en-CA"/>
        </w:rPr>
        <w:t>;</w:t>
      </w:r>
      <w:r w:rsidR="35A8802E" w:rsidRPr="007763AF">
        <w:rPr>
          <w:i/>
          <w:iCs/>
          <w:lang w:val="en-CA"/>
        </w:rPr>
        <w:t xml:space="preserve"> </w:t>
      </w:r>
      <w:r w:rsidR="2ED70B4B" w:rsidRPr="007763AF">
        <w:rPr>
          <w:i/>
          <w:iCs/>
          <w:lang w:val="en-CA"/>
        </w:rPr>
        <w:t>It will destroy the industry and kill jobs</w:t>
      </w:r>
      <w:r w:rsidR="4F50D305" w:rsidRPr="007763AF">
        <w:rPr>
          <w:i/>
          <w:iCs/>
          <w:lang w:val="en-CA"/>
        </w:rPr>
        <w:t>;</w:t>
      </w:r>
      <w:r w:rsidR="2ED70B4B" w:rsidRPr="007763AF">
        <w:rPr>
          <w:i/>
          <w:iCs/>
          <w:lang w:val="en-CA"/>
        </w:rPr>
        <w:t xml:space="preserve"> </w:t>
      </w:r>
      <w:r w:rsidR="13EFAAA2" w:rsidRPr="007763AF">
        <w:rPr>
          <w:i/>
          <w:iCs/>
          <w:lang w:val="en-CA"/>
        </w:rPr>
        <w:t>Consumers do not want this</w:t>
      </w:r>
      <w:r w:rsidR="4F50D305" w:rsidRPr="007763AF">
        <w:rPr>
          <w:i/>
          <w:iCs/>
          <w:lang w:val="en-CA"/>
        </w:rPr>
        <w:t>;</w:t>
      </w:r>
      <w:r w:rsidR="13EFAAA2" w:rsidRPr="007763AF">
        <w:rPr>
          <w:i/>
          <w:iCs/>
          <w:lang w:val="en-CA"/>
        </w:rPr>
        <w:t xml:space="preserve"> </w:t>
      </w:r>
      <w:r w:rsidR="2ED70B4B" w:rsidRPr="007763AF">
        <w:rPr>
          <w:i/>
          <w:iCs/>
          <w:lang w:val="en-CA"/>
        </w:rPr>
        <w:t>The market will solve it</w:t>
      </w:r>
      <w:r w:rsidR="4F50D305" w:rsidRPr="00500BCC">
        <w:rPr>
          <w:lang w:val="en-CA"/>
        </w:rPr>
        <w:t>;</w:t>
      </w:r>
      <w:r w:rsidR="2ED70B4B" w:rsidRPr="00500BCC">
        <w:rPr>
          <w:lang w:val="en-CA"/>
        </w:rPr>
        <w:t xml:space="preserve"> etc. </w:t>
      </w:r>
      <w:r w:rsidR="071BAAE4" w:rsidRPr="00500BCC">
        <w:rPr>
          <w:lang w:val="en-CA"/>
        </w:rPr>
        <w:t>They have deployed the same delay tactics</w:t>
      </w:r>
      <w:r w:rsidR="7799CC8C" w:rsidRPr="00500BCC">
        <w:rPr>
          <w:lang w:val="en-CA"/>
        </w:rPr>
        <w:t xml:space="preserve"> and</w:t>
      </w:r>
      <w:r w:rsidR="071BAAE4" w:rsidRPr="00500BCC">
        <w:rPr>
          <w:lang w:val="en-CA"/>
        </w:rPr>
        <w:t xml:space="preserve"> arguments to fight against </w:t>
      </w:r>
      <w:r w:rsidR="13EFAAA2" w:rsidRPr="00500BCC">
        <w:rPr>
          <w:lang w:val="en-CA"/>
        </w:rPr>
        <w:t xml:space="preserve">regulations on seatbelts, antipollution systems, air bags, fuel economy standards and more. </w:t>
      </w:r>
      <w:r w:rsidR="4F50D305" w:rsidRPr="00500BCC">
        <w:rPr>
          <w:lang w:val="en-CA"/>
        </w:rPr>
        <w:t>‘Time after time, all these arguments have been proven wrong. The record shows that automakers have over-performed when faced with new rules. Rising to each challenge, they have implemented innovative solutions, complying with health, environmental, and safety standards at lower cost than even the agencies had initially estimated’</w:t>
      </w:r>
      <w:r w:rsidR="00CC4CDD" w:rsidRPr="00500BCC">
        <w:rPr>
          <w:rStyle w:val="FootnoteReference"/>
          <w:lang w:val="en-CA"/>
        </w:rPr>
        <w:footnoteReference w:id="13"/>
      </w:r>
      <w:r w:rsidR="00CC4CDD" w:rsidRPr="00500BCC">
        <w:rPr>
          <w:lang w:val="en-CA"/>
        </w:rPr>
        <w:t>.</w:t>
      </w:r>
    </w:p>
    <w:p w14:paraId="2DB380B9" w14:textId="77777777" w:rsidR="00A71EA0" w:rsidRPr="00500BCC" w:rsidRDefault="00A71EA0" w:rsidP="007118BB">
      <w:pPr>
        <w:pStyle w:val="NoSpacing"/>
        <w:rPr>
          <w:lang w:val="en-CA"/>
        </w:rPr>
      </w:pPr>
    </w:p>
    <w:p w14:paraId="1A6804EA" w14:textId="77777777" w:rsidR="00BA3C81" w:rsidRPr="00500BCC" w:rsidRDefault="00BA3C81" w:rsidP="00BA3C81">
      <w:pPr>
        <w:pStyle w:val="NoSpacing"/>
        <w:rPr>
          <w:lang w:val="en-CA"/>
        </w:rPr>
      </w:pPr>
      <w:r w:rsidRPr="00500BCC">
        <w:rPr>
          <w:lang w:val="en-CA"/>
        </w:rPr>
        <w:t xml:space="preserve">In other regulated markets, credit trading between OEMs has enabled all manufacturers to meet their obligations. Though OEMs have fought against regulations and contested sales requirements for being too high, they have been able to comply every time while maximising all flexibilities available. </w:t>
      </w:r>
    </w:p>
    <w:p w14:paraId="6EFBEF0E" w14:textId="40A27A4C" w:rsidR="009560D1" w:rsidRPr="00500BCC" w:rsidRDefault="009560D1" w:rsidP="009C23FD">
      <w:pPr>
        <w:pStyle w:val="NoSpacing"/>
        <w:rPr>
          <w:lang w:val="en-CA"/>
        </w:rPr>
      </w:pPr>
    </w:p>
    <w:p w14:paraId="1800035E" w14:textId="2112C53B" w:rsidR="007118BB" w:rsidRPr="00500BCC" w:rsidRDefault="005A6B42" w:rsidP="007118BB">
      <w:pPr>
        <w:pStyle w:val="Heading3"/>
      </w:pPr>
      <w:bookmarkStart w:id="45" w:name="_Toc139763326"/>
      <w:bookmarkStart w:id="46" w:name="_Toc128035345"/>
      <w:bookmarkStart w:id="47" w:name="_Toc129792111"/>
      <w:r w:rsidRPr="00500BCC">
        <w:t>OEM associations want more r</w:t>
      </w:r>
      <w:r w:rsidR="00AC7407" w:rsidRPr="00500BCC">
        <w:t>ebates and infrastructure</w:t>
      </w:r>
      <w:bookmarkEnd w:id="45"/>
      <w:bookmarkEnd w:id="46"/>
      <w:bookmarkEnd w:id="47"/>
    </w:p>
    <w:p w14:paraId="47C6677E" w14:textId="77777777" w:rsidR="00AC7407" w:rsidRPr="00500BCC" w:rsidRDefault="00AC7407" w:rsidP="00AC7407">
      <w:pPr>
        <w:pStyle w:val="NoSpacing"/>
        <w:rPr>
          <w:lang w:val="en-CA"/>
        </w:rPr>
      </w:pPr>
    </w:p>
    <w:p w14:paraId="08B5159E" w14:textId="6EAA6F29" w:rsidR="000119C1" w:rsidRPr="00500BCC" w:rsidRDefault="2B48460A" w:rsidP="008847CF">
      <w:pPr>
        <w:pStyle w:val="NoSpacing"/>
        <w:rPr>
          <w:lang w:val="en-CA"/>
        </w:rPr>
      </w:pPr>
      <w:r w:rsidRPr="6572A1C6">
        <w:rPr>
          <w:lang w:val="en-CA"/>
        </w:rPr>
        <w:t>Initiatives that encourage and facilitate EV adoption such as purchase rebates</w:t>
      </w:r>
      <w:r w:rsidR="63167DCB" w:rsidRPr="6572A1C6">
        <w:rPr>
          <w:lang w:val="en-CA"/>
        </w:rPr>
        <w:t xml:space="preserve"> or </w:t>
      </w:r>
      <w:r w:rsidR="0864D92E" w:rsidRPr="6572A1C6">
        <w:rPr>
          <w:lang w:val="en-CA"/>
        </w:rPr>
        <w:t>EV tax exemptions</w:t>
      </w:r>
      <w:r w:rsidRPr="6572A1C6">
        <w:rPr>
          <w:lang w:val="en-CA"/>
        </w:rPr>
        <w:t xml:space="preserve">, public awareness campaigns and government support for public charging infrastructure remain necessary and most certainly contribute to more interest for EVs. But a ZEV sales regulation is necessary to ensure that EV supply is there to meet the growing demand generated by </w:t>
      </w:r>
      <w:r w:rsidR="287FD055" w:rsidRPr="6572A1C6">
        <w:rPr>
          <w:lang w:val="en-CA"/>
        </w:rPr>
        <w:t>public dollar</w:t>
      </w:r>
      <w:r w:rsidRPr="6572A1C6">
        <w:rPr>
          <w:lang w:val="en-CA"/>
        </w:rPr>
        <w:t xml:space="preserve"> investments. ZEV market share in Canadian jurisdictions clearly demonstrates that demand-side programs alone do not make ZEVs more available </w:t>
      </w:r>
      <w:r w:rsidR="6D0719C8" w:rsidRPr="6572A1C6">
        <w:rPr>
          <w:lang w:val="en-CA"/>
        </w:rPr>
        <w:t>to customers</w:t>
      </w:r>
      <w:r w:rsidRPr="6572A1C6">
        <w:rPr>
          <w:lang w:val="en-CA"/>
        </w:rPr>
        <w:t xml:space="preserve">. </w:t>
      </w:r>
      <w:r w:rsidR="7489ECB5" w:rsidRPr="6572A1C6">
        <w:rPr>
          <w:lang w:val="en-CA"/>
        </w:rPr>
        <w:t>Rebates</w:t>
      </w:r>
      <w:r w:rsidR="3580DC03" w:rsidRPr="6572A1C6">
        <w:rPr>
          <w:lang w:val="en-CA"/>
        </w:rPr>
        <w:t xml:space="preserve"> or</w:t>
      </w:r>
      <w:r w:rsidR="7489ECB5" w:rsidRPr="6572A1C6">
        <w:rPr>
          <w:lang w:val="en-CA"/>
        </w:rPr>
        <w:t xml:space="preserve"> </w:t>
      </w:r>
      <w:r w:rsidR="449196D1" w:rsidRPr="6572A1C6">
        <w:rPr>
          <w:lang w:val="en-CA"/>
        </w:rPr>
        <w:t xml:space="preserve">EV tax exemptions, </w:t>
      </w:r>
      <w:r w:rsidR="7489ECB5" w:rsidRPr="6572A1C6">
        <w:rPr>
          <w:lang w:val="en-CA"/>
        </w:rPr>
        <w:t>awareness</w:t>
      </w:r>
      <w:r w:rsidRPr="6572A1C6">
        <w:rPr>
          <w:lang w:val="en-CA"/>
        </w:rPr>
        <w:t xml:space="preserve"> initiatives and infrastructure deployment are useless if </w:t>
      </w:r>
      <w:r w:rsidRPr="6572A1C6">
        <w:rPr>
          <w:lang w:val="en-CA"/>
        </w:rPr>
        <w:lastRenderedPageBreak/>
        <w:t xml:space="preserve">Canadians who want to buy an EV cannot do so because of insufficient supply. A ZEV regulation will </w:t>
      </w:r>
      <w:r w:rsidR="4E97B677" w:rsidRPr="6572A1C6">
        <w:rPr>
          <w:lang w:val="en-CA"/>
        </w:rPr>
        <w:t>maximize</w:t>
      </w:r>
      <w:r w:rsidRPr="6572A1C6">
        <w:rPr>
          <w:lang w:val="en-CA"/>
        </w:rPr>
        <w:t xml:space="preserve"> the impact of other government programs and investments and accelerate ZEV adoption in Canada by ensuring better ZEV supply where EVs are in demand.</w:t>
      </w:r>
    </w:p>
    <w:p w14:paraId="2F298633" w14:textId="77777777" w:rsidR="008847CF" w:rsidRPr="00500BCC" w:rsidRDefault="008847CF" w:rsidP="00E1600D">
      <w:pPr>
        <w:pStyle w:val="NoSpacing"/>
        <w:rPr>
          <w:lang w:val="en-CA"/>
        </w:rPr>
      </w:pPr>
    </w:p>
    <w:p w14:paraId="5C8E4608" w14:textId="2073B6F2" w:rsidR="00AC7407" w:rsidRPr="00500BCC" w:rsidRDefault="7F222499" w:rsidP="00AC7407">
      <w:pPr>
        <w:pStyle w:val="NoSpacing"/>
        <w:rPr>
          <w:b/>
          <w:bCs/>
          <w:lang w:val="en-CA"/>
        </w:rPr>
      </w:pPr>
      <w:r w:rsidRPr="00500BCC">
        <w:rPr>
          <w:b/>
          <w:bCs/>
          <w:lang w:val="en-CA"/>
        </w:rPr>
        <w:t>TABLE</w:t>
      </w:r>
      <w:r w:rsidR="5D8B03D2" w:rsidRPr="00500BCC">
        <w:rPr>
          <w:b/>
          <w:bCs/>
          <w:lang w:val="en-CA"/>
        </w:rPr>
        <w:t xml:space="preserve"> </w:t>
      </w:r>
      <w:r w:rsidR="004C2986">
        <w:rPr>
          <w:b/>
          <w:bCs/>
          <w:lang w:val="en-CA"/>
        </w:rPr>
        <w:t>5</w:t>
      </w:r>
      <w:r w:rsidR="5D8B03D2" w:rsidRPr="00500BCC">
        <w:rPr>
          <w:b/>
          <w:bCs/>
          <w:lang w:val="en-CA"/>
        </w:rPr>
        <w:t xml:space="preserve"> – Impact of rebates and mandates on ZEV Sales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2520"/>
        <w:gridCol w:w="2520"/>
        <w:gridCol w:w="2520"/>
      </w:tblGrid>
      <w:tr w:rsidR="2AA5A056" w:rsidRPr="00500BCC" w14:paraId="749C2F40" w14:textId="77777777" w:rsidTr="008C70CB">
        <w:trPr>
          <w:trHeight w:val="300"/>
        </w:trPr>
        <w:tc>
          <w:tcPr>
            <w:tcW w:w="2518" w:type="dxa"/>
            <w:shd w:val="clear" w:color="auto" w:fill="C5E0B3" w:themeFill="accent6" w:themeFillTint="66"/>
            <w:vAlign w:val="center"/>
          </w:tcPr>
          <w:p w14:paraId="74ACE921" w14:textId="5F395FF6" w:rsidR="2AA5A056" w:rsidRPr="00500BCC" w:rsidRDefault="26B136D8" w:rsidP="003C2EC7">
            <w:pPr>
              <w:spacing w:after="0"/>
              <w:rPr>
                <w:lang w:val="en-CA"/>
              </w:rPr>
            </w:pPr>
            <w:r w:rsidRPr="00500BCC">
              <w:rPr>
                <w:rFonts w:ascii="Calibri" w:eastAsia="Calibri" w:hAnsi="Calibri" w:cs="Calibri"/>
                <w:b/>
                <w:bCs/>
                <w:color w:val="000000" w:themeColor="text1"/>
                <w:lang w:val="en-CA"/>
              </w:rPr>
              <w:t xml:space="preserve">State, Province </w:t>
            </w:r>
            <w:r w:rsidR="2AA5A056" w:rsidRPr="00500BCC">
              <w:rPr>
                <w:lang w:val="en-CA"/>
              </w:rPr>
              <w:br/>
            </w:r>
            <w:r w:rsidRPr="00500BCC">
              <w:rPr>
                <w:rFonts w:ascii="Calibri" w:eastAsia="Calibri" w:hAnsi="Calibri" w:cs="Calibri"/>
                <w:b/>
                <w:bCs/>
                <w:color w:val="000000" w:themeColor="text1"/>
                <w:lang w:val="en-CA"/>
              </w:rPr>
              <w:t>or Country</w:t>
            </w:r>
          </w:p>
        </w:tc>
        <w:tc>
          <w:tcPr>
            <w:tcW w:w="2520" w:type="dxa"/>
            <w:shd w:val="clear" w:color="auto" w:fill="C5E0B3" w:themeFill="accent6" w:themeFillTint="66"/>
            <w:vAlign w:val="center"/>
          </w:tcPr>
          <w:p w14:paraId="5F2AF8C5" w14:textId="109780B5" w:rsidR="2AA5A056" w:rsidRPr="00500BCC" w:rsidRDefault="26B136D8" w:rsidP="003C2EC7">
            <w:pPr>
              <w:spacing w:after="0"/>
              <w:jc w:val="center"/>
              <w:rPr>
                <w:rFonts w:ascii="Calibri" w:eastAsia="Calibri" w:hAnsi="Calibri" w:cs="Calibri"/>
                <w:b/>
                <w:bCs/>
                <w:color w:val="000000" w:themeColor="text1"/>
                <w:lang w:val="en-CA"/>
              </w:rPr>
            </w:pPr>
            <w:r w:rsidRPr="00500BCC">
              <w:rPr>
                <w:rFonts w:ascii="Calibri" w:eastAsia="Calibri" w:hAnsi="Calibri" w:cs="Calibri"/>
                <w:b/>
                <w:bCs/>
                <w:color w:val="000000" w:themeColor="text1"/>
                <w:lang w:val="en-CA"/>
              </w:rPr>
              <w:t>ZEV Rebate</w:t>
            </w:r>
          </w:p>
        </w:tc>
        <w:tc>
          <w:tcPr>
            <w:tcW w:w="2520" w:type="dxa"/>
            <w:shd w:val="clear" w:color="auto" w:fill="C5E0B3" w:themeFill="accent6" w:themeFillTint="66"/>
            <w:vAlign w:val="center"/>
          </w:tcPr>
          <w:p w14:paraId="6AF03666" w14:textId="737F179E" w:rsidR="2AA5A056" w:rsidRPr="00500BCC" w:rsidRDefault="26B136D8" w:rsidP="003C2EC7">
            <w:pPr>
              <w:spacing w:after="0"/>
              <w:jc w:val="center"/>
              <w:rPr>
                <w:rFonts w:ascii="Calibri" w:eastAsia="Calibri" w:hAnsi="Calibri" w:cs="Calibri"/>
                <w:b/>
                <w:bCs/>
                <w:color w:val="000000" w:themeColor="text1"/>
                <w:lang w:val="en-CA"/>
              </w:rPr>
            </w:pPr>
            <w:r w:rsidRPr="00500BCC">
              <w:rPr>
                <w:rFonts w:ascii="Calibri" w:eastAsia="Calibri" w:hAnsi="Calibri" w:cs="Calibri"/>
                <w:b/>
                <w:bCs/>
                <w:color w:val="000000" w:themeColor="text1"/>
                <w:lang w:val="en-CA"/>
              </w:rPr>
              <w:t>ZEV Mandate</w:t>
            </w:r>
          </w:p>
        </w:tc>
        <w:tc>
          <w:tcPr>
            <w:tcW w:w="2520" w:type="dxa"/>
            <w:shd w:val="clear" w:color="auto" w:fill="C5E0B3" w:themeFill="accent6" w:themeFillTint="66"/>
            <w:vAlign w:val="center"/>
          </w:tcPr>
          <w:p w14:paraId="20C6EF05" w14:textId="54B9D867" w:rsidR="00CC4CDD" w:rsidRPr="00500BCC" w:rsidRDefault="639E5183" w:rsidP="003C2EC7">
            <w:pPr>
              <w:spacing w:after="0"/>
              <w:jc w:val="center"/>
              <w:rPr>
                <w:rFonts w:ascii="Calibri" w:eastAsia="Calibri" w:hAnsi="Calibri" w:cs="Calibri"/>
                <w:b/>
                <w:bCs/>
                <w:color w:val="000000" w:themeColor="text1"/>
                <w:lang w:val="en-CA"/>
              </w:rPr>
            </w:pPr>
            <w:r w:rsidRPr="00500BCC">
              <w:rPr>
                <w:rFonts w:ascii="Calibri" w:eastAsia="Calibri" w:hAnsi="Calibri" w:cs="Calibri"/>
                <w:b/>
                <w:bCs/>
                <w:color w:val="000000" w:themeColor="text1"/>
                <w:lang w:val="en-CA"/>
              </w:rPr>
              <w:t xml:space="preserve">ZEV % of Sales in </w:t>
            </w:r>
            <w:r w:rsidR="001B0675">
              <w:rPr>
                <w:rFonts w:ascii="Calibri" w:eastAsia="Calibri" w:hAnsi="Calibri" w:cs="Calibri"/>
                <w:b/>
                <w:bCs/>
                <w:color w:val="000000" w:themeColor="text1"/>
                <w:lang w:val="en-CA"/>
              </w:rPr>
              <w:t xml:space="preserve">Q4 </w:t>
            </w:r>
            <w:r w:rsidRPr="00500BCC">
              <w:rPr>
                <w:rFonts w:ascii="Calibri" w:eastAsia="Calibri" w:hAnsi="Calibri" w:cs="Calibri"/>
                <w:b/>
                <w:bCs/>
                <w:color w:val="000000" w:themeColor="text1"/>
                <w:lang w:val="en-CA"/>
              </w:rPr>
              <w:t>2022</w:t>
            </w:r>
            <w:r w:rsidR="00CC4CDD" w:rsidRPr="00500BCC">
              <w:rPr>
                <w:rStyle w:val="FootnoteReference"/>
                <w:rFonts w:ascii="Calibri" w:eastAsia="Calibri" w:hAnsi="Calibri" w:cs="Calibri"/>
                <w:b/>
                <w:bCs/>
                <w:color w:val="000000" w:themeColor="text1"/>
                <w:lang w:val="en-CA"/>
              </w:rPr>
              <w:footnoteReference w:id="14"/>
            </w:r>
          </w:p>
        </w:tc>
      </w:tr>
      <w:tr w:rsidR="2AA5A056" w:rsidRPr="00500BCC" w14:paraId="378B5FDB" w14:textId="77777777" w:rsidTr="008C70CB">
        <w:trPr>
          <w:trHeight w:val="283"/>
        </w:trPr>
        <w:tc>
          <w:tcPr>
            <w:tcW w:w="2518" w:type="dxa"/>
            <w:vAlign w:val="center"/>
          </w:tcPr>
          <w:p w14:paraId="0ED6A8DB" w14:textId="1D12CAF0" w:rsidR="2AA5A056" w:rsidRPr="00500BCC" w:rsidRDefault="26B136D8" w:rsidP="003C2EC7">
            <w:pPr>
              <w:spacing w:after="0"/>
              <w:rPr>
                <w:lang w:val="en-CA"/>
              </w:rPr>
            </w:pPr>
            <w:r w:rsidRPr="00500BCC">
              <w:rPr>
                <w:rFonts w:ascii="Calibri" w:eastAsia="Calibri" w:hAnsi="Calibri" w:cs="Calibri"/>
                <w:color w:val="000000" w:themeColor="text1"/>
                <w:lang w:val="en-CA"/>
              </w:rPr>
              <w:t xml:space="preserve">California </w:t>
            </w:r>
          </w:p>
        </w:tc>
        <w:tc>
          <w:tcPr>
            <w:tcW w:w="2520" w:type="dxa"/>
            <w:vAlign w:val="center"/>
          </w:tcPr>
          <w:p w14:paraId="36566C9E" w14:textId="35BE8D12"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YES</w:t>
            </w:r>
          </w:p>
        </w:tc>
        <w:tc>
          <w:tcPr>
            <w:tcW w:w="2520" w:type="dxa"/>
            <w:vAlign w:val="center"/>
          </w:tcPr>
          <w:p w14:paraId="3EB46D7A" w14:textId="5043D2FE"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YES</w:t>
            </w:r>
          </w:p>
        </w:tc>
        <w:tc>
          <w:tcPr>
            <w:tcW w:w="2520" w:type="dxa"/>
            <w:vAlign w:val="center"/>
          </w:tcPr>
          <w:p w14:paraId="196BAC50" w14:textId="0BFAAE68" w:rsidR="2AA5A056" w:rsidRPr="00500BCC" w:rsidRDefault="001B0675"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24</w:t>
            </w:r>
            <w:r w:rsidR="000D7690">
              <w:rPr>
                <w:rFonts w:ascii="Calibri" w:eastAsia="Calibri" w:hAnsi="Calibri" w:cs="Calibri"/>
                <w:color w:val="000000" w:themeColor="text1"/>
                <w:lang w:val="en-CA"/>
              </w:rPr>
              <w:t>.2</w:t>
            </w:r>
            <w:r>
              <w:rPr>
                <w:rFonts w:ascii="Calibri" w:eastAsia="Calibri" w:hAnsi="Calibri" w:cs="Calibri"/>
                <w:color w:val="000000" w:themeColor="text1"/>
                <w:lang w:val="en-CA"/>
              </w:rPr>
              <w:t>%</w:t>
            </w:r>
          </w:p>
        </w:tc>
      </w:tr>
      <w:tr w:rsidR="2AA5A056" w:rsidRPr="00500BCC" w14:paraId="1E160EBA" w14:textId="77777777" w:rsidTr="008C70CB">
        <w:trPr>
          <w:trHeight w:val="283"/>
        </w:trPr>
        <w:tc>
          <w:tcPr>
            <w:tcW w:w="2518" w:type="dxa"/>
            <w:vAlign w:val="center"/>
          </w:tcPr>
          <w:p w14:paraId="7196C0F9" w14:textId="6D08D406" w:rsidR="2AA5A056" w:rsidRPr="00500BCC" w:rsidRDefault="26B136D8" w:rsidP="003C2EC7">
            <w:pPr>
              <w:spacing w:after="0"/>
              <w:rPr>
                <w:lang w:val="en-CA"/>
              </w:rPr>
            </w:pPr>
            <w:r w:rsidRPr="00500BCC">
              <w:rPr>
                <w:rFonts w:ascii="Calibri" w:eastAsia="Calibri" w:hAnsi="Calibri" w:cs="Calibri"/>
                <w:color w:val="000000" w:themeColor="text1"/>
                <w:lang w:val="en-CA"/>
              </w:rPr>
              <w:t>British Columbia</w:t>
            </w:r>
          </w:p>
        </w:tc>
        <w:tc>
          <w:tcPr>
            <w:tcW w:w="2520" w:type="dxa"/>
            <w:vAlign w:val="center"/>
          </w:tcPr>
          <w:p w14:paraId="710EA07D" w14:textId="603D0B08"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YES</w:t>
            </w:r>
          </w:p>
        </w:tc>
        <w:tc>
          <w:tcPr>
            <w:tcW w:w="2520" w:type="dxa"/>
            <w:vAlign w:val="center"/>
          </w:tcPr>
          <w:p w14:paraId="6A8D22BF" w14:textId="740EEB9D"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YES</w:t>
            </w:r>
          </w:p>
        </w:tc>
        <w:tc>
          <w:tcPr>
            <w:tcW w:w="2520" w:type="dxa"/>
            <w:vAlign w:val="center"/>
          </w:tcPr>
          <w:p w14:paraId="1144F916" w14:textId="5C4F1415" w:rsidR="2AA5A056" w:rsidRPr="00500BCC" w:rsidRDefault="000119C1"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20</w:t>
            </w:r>
            <w:r w:rsidR="000D7690">
              <w:rPr>
                <w:rFonts w:ascii="Calibri" w:eastAsia="Calibri" w:hAnsi="Calibri" w:cs="Calibri"/>
                <w:color w:val="000000" w:themeColor="text1"/>
                <w:lang w:val="en-CA"/>
              </w:rPr>
              <w:t>.</w:t>
            </w:r>
            <w:r>
              <w:rPr>
                <w:rFonts w:ascii="Calibri" w:eastAsia="Calibri" w:hAnsi="Calibri" w:cs="Calibri"/>
                <w:color w:val="000000" w:themeColor="text1"/>
                <w:lang w:val="en-CA"/>
              </w:rPr>
              <w:t>1%</w:t>
            </w:r>
          </w:p>
        </w:tc>
      </w:tr>
      <w:tr w:rsidR="2AA5A056" w:rsidRPr="00500BCC" w14:paraId="43A332D4" w14:textId="77777777" w:rsidTr="008C70CB">
        <w:trPr>
          <w:trHeight w:val="283"/>
        </w:trPr>
        <w:tc>
          <w:tcPr>
            <w:tcW w:w="2518" w:type="dxa"/>
            <w:vAlign w:val="center"/>
          </w:tcPr>
          <w:p w14:paraId="184818CD" w14:textId="0C6C98E2" w:rsidR="2AA5A056" w:rsidRPr="00500BCC" w:rsidRDefault="26B136D8" w:rsidP="003C2EC7">
            <w:pPr>
              <w:spacing w:after="0"/>
              <w:rPr>
                <w:lang w:val="en-CA"/>
              </w:rPr>
            </w:pPr>
            <w:r w:rsidRPr="00500BCC">
              <w:rPr>
                <w:rFonts w:ascii="Calibri" w:eastAsia="Calibri" w:hAnsi="Calibri" w:cs="Calibri"/>
                <w:color w:val="000000" w:themeColor="text1"/>
                <w:lang w:val="en-CA"/>
              </w:rPr>
              <w:t>Québec</w:t>
            </w:r>
          </w:p>
        </w:tc>
        <w:tc>
          <w:tcPr>
            <w:tcW w:w="2520" w:type="dxa"/>
            <w:vAlign w:val="center"/>
          </w:tcPr>
          <w:p w14:paraId="1668E26A" w14:textId="0A8DC9F3"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YES</w:t>
            </w:r>
          </w:p>
        </w:tc>
        <w:tc>
          <w:tcPr>
            <w:tcW w:w="2520" w:type="dxa"/>
            <w:vAlign w:val="center"/>
          </w:tcPr>
          <w:p w14:paraId="2BD543DE" w14:textId="5219D29E"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YES</w:t>
            </w:r>
          </w:p>
        </w:tc>
        <w:tc>
          <w:tcPr>
            <w:tcW w:w="2520" w:type="dxa"/>
            <w:vAlign w:val="center"/>
          </w:tcPr>
          <w:p w14:paraId="2958DB84" w14:textId="7CBE4C81" w:rsidR="2AA5A056" w:rsidRPr="00500BCC" w:rsidRDefault="000119C1"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14</w:t>
            </w:r>
            <w:r w:rsidR="000D7690">
              <w:rPr>
                <w:rFonts w:ascii="Calibri" w:eastAsia="Calibri" w:hAnsi="Calibri" w:cs="Calibri"/>
                <w:color w:val="000000" w:themeColor="text1"/>
                <w:lang w:val="en-CA"/>
              </w:rPr>
              <w:t>.</w:t>
            </w:r>
            <w:r>
              <w:rPr>
                <w:rFonts w:ascii="Calibri" w:eastAsia="Calibri" w:hAnsi="Calibri" w:cs="Calibri"/>
                <w:color w:val="000000" w:themeColor="text1"/>
                <w:lang w:val="en-CA"/>
              </w:rPr>
              <w:t>6%</w:t>
            </w:r>
          </w:p>
        </w:tc>
      </w:tr>
      <w:tr w:rsidR="2AA5A056" w:rsidRPr="00500BCC" w14:paraId="4CB75522" w14:textId="77777777" w:rsidTr="008C70CB">
        <w:trPr>
          <w:trHeight w:val="283"/>
        </w:trPr>
        <w:tc>
          <w:tcPr>
            <w:tcW w:w="2518" w:type="dxa"/>
            <w:shd w:val="clear" w:color="auto" w:fill="D9D9D9" w:themeFill="background1" w:themeFillShade="D9"/>
            <w:vAlign w:val="center"/>
          </w:tcPr>
          <w:p w14:paraId="738C127A" w14:textId="351F8E23" w:rsidR="2AA5A056" w:rsidRPr="00500BCC" w:rsidRDefault="26B136D8" w:rsidP="003C2EC7">
            <w:pPr>
              <w:spacing w:after="0"/>
              <w:rPr>
                <w:lang w:val="en-CA"/>
              </w:rPr>
            </w:pPr>
            <w:r w:rsidRPr="00500BCC">
              <w:rPr>
                <w:rFonts w:ascii="Calibri" w:eastAsia="Calibri" w:hAnsi="Calibri" w:cs="Calibri"/>
                <w:color w:val="000000" w:themeColor="text1"/>
                <w:lang w:val="en-CA"/>
              </w:rPr>
              <w:t>Canada</w:t>
            </w:r>
          </w:p>
        </w:tc>
        <w:tc>
          <w:tcPr>
            <w:tcW w:w="2520" w:type="dxa"/>
            <w:shd w:val="clear" w:color="auto" w:fill="D9D9D9" w:themeFill="background1" w:themeFillShade="D9"/>
            <w:vAlign w:val="center"/>
          </w:tcPr>
          <w:p w14:paraId="0AE06265" w14:textId="08781793"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YES</w:t>
            </w:r>
          </w:p>
        </w:tc>
        <w:tc>
          <w:tcPr>
            <w:tcW w:w="2520" w:type="dxa"/>
            <w:shd w:val="clear" w:color="auto" w:fill="D9D9D9" w:themeFill="background1" w:themeFillShade="D9"/>
            <w:vAlign w:val="center"/>
          </w:tcPr>
          <w:p w14:paraId="07FEBB26" w14:textId="3ACF61AC"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NO</w:t>
            </w:r>
          </w:p>
        </w:tc>
        <w:tc>
          <w:tcPr>
            <w:tcW w:w="2520" w:type="dxa"/>
            <w:shd w:val="clear" w:color="auto" w:fill="D9D9D9" w:themeFill="background1" w:themeFillShade="D9"/>
            <w:vAlign w:val="center"/>
          </w:tcPr>
          <w:p w14:paraId="71C9F2CF" w14:textId="72A446EB" w:rsidR="2AA5A056" w:rsidRPr="00500BCC" w:rsidRDefault="000119C1"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10</w:t>
            </w:r>
            <w:r w:rsidR="000D7690">
              <w:rPr>
                <w:rFonts w:ascii="Calibri" w:eastAsia="Calibri" w:hAnsi="Calibri" w:cs="Calibri"/>
                <w:color w:val="000000" w:themeColor="text1"/>
                <w:lang w:val="en-CA"/>
              </w:rPr>
              <w:t>.</w:t>
            </w:r>
            <w:r>
              <w:rPr>
                <w:rFonts w:ascii="Calibri" w:eastAsia="Calibri" w:hAnsi="Calibri" w:cs="Calibri"/>
                <w:color w:val="000000" w:themeColor="text1"/>
                <w:lang w:val="en-CA"/>
              </w:rPr>
              <w:t>2%</w:t>
            </w:r>
          </w:p>
        </w:tc>
      </w:tr>
      <w:tr w:rsidR="2AA5A056" w:rsidRPr="00500BCC" w14:paraId="7BEE41E9" w14:textId="77777777" w:rsidTr="008C70CB">
        <w:trPr>
          <w:trHeight w:val="283"/>
        </w:trPr>
        <w:tc>
          <w:tcPr>
            <w:tcW w:w="2518" w:type="dxa"/>
            <w:vAlign w:val="center"/>
          </w:tcPr>
          <w:p w14:paraId="726333D0" w14:textId="1CE81766" w:rsidR="2AA5A056" w:rsidRPr="00500BCC" w:rsidRDefault="26B136D8" w:rsidP="003C2EC7">
            <w:pPr>
              <w:spacing w:after="0"/>
              <w:rPr>
                <w:lang w:val="en-CA"/>
              </w:rPr>
            </w:pPr>
            <w:r w:rsidRPr="00500BCC">
              <w:rPr>
                <w:rFonts w:ascii="Calibri" w:eastAsia="Calibri" w:hAnsi="Calibri" w:cs="Calibri"/>
                <w:color w:val="000000" w:themeColor="text1"/>
                <w:lang w:val="en-CA"/>
              </w:rPr>
              <w:t>Ontario</w:t>
            </w:r>
          </w:p>
        </w:tc>
        <w:tc>
          <w:tcPr>
            <w:tcW w:w="2520" w:type="dxa"/>
            <w:vAlign w:val="center"/>
          </w:tcPr>
          <w:p w14:paraId="5748A591" w14:textId="4D6C096B"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NO</w:t>
            </w:r>
          </w:p>
        </w:tc>
        <w:tc>
          <w:tcPr>
            <w:tcW w:w="2520" w:type="dxa"/>
            <w:vAlign w:val="center"/>
          </w:tcPr>
          <w:p w14:paraId="73A5DE70" w14:textId="6CC656DC"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NO</w:t>
            </w:r>
          </w:p>
        </w:tc>
        <w:tc>
          <w:tcPr>
            <w:tcW w:w="2520" w:type="dxa"/>
            <w:vAlign w:val="center"/>
          </w:tcPr>
          <w:p w14:paraId="1E4E385F" w14:textId="0AB26BB6" w:rsidR="2AA5A056" w:rsidRPr="00500BCC" w:rsidRDefault="000119C1"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8</w:t>
            </w:r>
            <w:r w:rsidR="000D7690">
              <w:rPr>
                <w:rFonts w:ascii="Calibri" w:eastAsia="Calibri" w:hAnsi="Calibri" w:cs="Calibri"/>
                <w:color w:val="000000" w:themeColor="text1"/>
                <w:lang w:val="en-CA"/>
              </w:rPr>
              <w:t>.</w:t>
            </w:r>
            <w:r>
              <w:rPr>
                <w:rFonts w:ascii="Calibri" w:eastAsia="Calibri" w:hAnsi="Calibri" w:cs="Calibri"/>
                <w:color w:val="000000" w:themeColor="text1"/>
                <w:lang w:val="en-CA"/>
              </w:rPr>
              <w:t>3%</w:t>
            </w:r>
          </w:p>
        </w:tc>
      </w:tr>
      <w:tr w:rsidR="2AA5A056" w:rsidRPr="00500BCC" w14:paraId="24D97F27" w14:textId="77777777" w:rsidTr="008C70CB">
        <w:trPr>
          <w:trHeight w:val="283"/>
        </w:trPr>
        <w:tc>
          <w:tcPr>
            <w:tcW w:w="2518" w:type="dxa"/>
            <w:vAlign w:val="center"/>
          </w:tcPr>
          <w:p w14:paraId="525354AF" w14:textId="1589FF14" w:rsidR="2AA5A056" w:rsidRPr="00500BCC" w:rsidRDefault="000119C1" w:rsidP="003C2EC7">
            <w:pPr>
              <w:spacing w:after="0"/>
              <w:rPr>
                <w:lang w:val="en-CA"/>
              </w:rPr>
            </w:pPr>
            <w:r>
              <w:rPr>
                <w:rFonts w:ascii="Calibri" w:eastAsia="Calibri" w:hAnsi="Calibri" w:cs="Calibri"/>
                <w:color w:val="000000" w:themeColor="text1"/>
                <w:lang w:val="en-CA"/>
              </w:rPr>
              <w:t>Alberta</w:t>
            </w:r>
          </w:p>
        </w:tc>
        <w:tc>
          <w:tcPr>
            <w:tcW w:w="2520" w:type="dxa"/>
            <w:vAlign w:val="center"/>
          </w:tcPr>
          <w:p w14:paraId="6658FD55" w14:textId="1F2353BC" w:rsidR="2AA5A056" w:rsidRPr="00500BCC" w:rsidRDefault="000119C1"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NO</w:t>
            </w:r>
          </w:p>
        </w:tc>
        <w:tc>
          <w:tcPr>
            <w:tcW w:w="2520" w:type="dxa"/>
            <w:vAlign w:val="center"/>
          </w:tcPr>
          <w:p w14:paraId="5320AF11" w14:textId="7914AC64"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NO</w:t>
            </w:r>
          </w:p>
        </w:tc>
        <w:tc>
          <w:tcPr>
            <w:tcW w:w="2520" w:type="dxa"/>
            <w:vAlign w:val="center"/>
          </w:tcPr>
          <w:p w14:paraId="5BFC59F5" w14:textId="24075CC6" w:rsidR="2AA5A056" w:rsidRPr="00500BCC" w:rsidRDefault="000119C1"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4</w:t>
            </w:r>
            <w:r w:rsidR="000D7690">
              <w:rPr>
                <w:rFonts w:ascii="Calibri" w:eastAsia="Calibri" w:hAnsi="Calibri" w:cs="Calibri"/>
                <w:color w:val="000000" w:themeColor="text1"/>
                <w:lang w:val="en-CA"/>
              </w:rPr>
              <w:t>.</w:t>
            </w:r>
            <w:r>
              <w:rPr>
                <w:rFonts w:ascii="Calibri" w:eastAsia="Calibri" w:hAnsi="Calibri" w:cs="Calibri"/>
                <w:color w:val="000000" w:themeColor="text1"/>
                <w:lang w:val="en-CA"/>
              </w:rPr>
              <w:t>4%</w:t>
            </w:r>
          </w:p>
        </w:tc>
      </w:tr>
      <w:tr w:rsidR="2AA5A056" w:rsidRPr="00500BCC" w14:paraId="66269872" w14:textId="77777777" w:rsidTr="008C70CB">
        <w:trPr>
          <w:trHeight w:val="283"/>
        </w:trPr>
        <w:tc>
          <w:tcPr>
            <w:tcW w:w="2518" w:type="dxa"/>
            <w:vAlign w:val="center"/>
          </w:tcPr>
          <w:p w14:paraId="0A60E673" w14:textId="2D0EDF27" w:rsidR="2AA5A056" w:rsidRPr="00500BCC" w:rsidRDefault="000D7690" w:rsidP="003C2EC7">
            <w:pPr>
              <w:spacing w:after="0"/>
              <w:rPr>
                <w:lang w:val="en-CA"/>
              </w:rPr>
            </w:pPr>
            <w:r>
              <w:rPr>
                <w:rFonts w:ascii="Calibri" w:eastAsia="Calibri" w:hAnsi="Calibri" w:cs="Calibri"/>
                <w:color w:val="000000" w:themeColor="text1"/>
                <w:lang w:val="en-CA"/>
              </w:rPr>
              <w:t>Nova Scotia</w:t>
            </w:r>
          </w:p>
        </w:tc>
        <w:tc>
          <w:tcPr>
            <w:tcW w:w="2520" w:type="dxa"/>
            <w:vAlign w:val="center"/>
          </w:tcPr>
          <w:p w14:paraId="1F0B5518" w14:textId="764250CF" w:rsidR="2AA5A056" w:rsidRPr="00500BCC" w:rsidRDefault="000D7690"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YES</w:t>
            </w:r>
          </w:p>
        </w:tc>
        <w:tc>
          <w:tcPr>
            <w:tcW w:w="2520" w:type="dxa"/>
            <w:vAlign w:val="center"/>
          </w:tcPr>
          <w:p w14:paraId="5D30C9AA" w14:textId="4D93F796"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NO</w:t>
            </w:r>
          </w:p>
        </w:tc>
        <w:tc>
          <w:tcPr>
            <w:tcW w:w="2520" w:type="dxa"/>
            <w:vAlign w:val="center"/>
          </w:tcPr>
          <w:p w14:paraId="6C596955" w14:textId="55629138" w:rsidR="2AA5A056" w:rsidRPr="00500BCC" w:rsidRDefault="000D7690"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3.6%</w:t>
            </w:r>
          </w:p>
        </w:tc>
      </w:tr>
      <w:tr w:rsidR="2AA5A056" w:rsidRPr="00500BCC" w14:paraId="0D2240A0" w14:textId="77777777" w:rsidTr="008C70CB">
        <w:trPr>
          <w:trHeight w:val="283"/>
        </w:trPr>
        <w:tc>
          <w:tcPr>
            <w:tcW w:w="2518" w:type="dxa"/>
            <w:vAlign w:val="center"/>
          </w:tcPr>
          <w:p w14:paraId="6DF2E8F2" w14:textId="0A81DB01" w:rsidR="2AA5A056" w:rsidRPr="00500BCC" w:rsidRDefault="26B136D8" w:rsidP="003C2EC7">
            <w:pPr>
              <w:spacing w:after="0"/>
              <w:rPr>
                <w:lang w:val="en-CA"/>
              </w:rPr>
            </w:pPr>
            <w:r w:rsidRPr="00500BCC">
              <w:rPr>
                <w:rFonts w:ascii="Calibri" w:eastAsia="Calibri" w:hAnsi="Calibri" w:cs="Calibri"/>
                <w:color w:val="000000" w:themeColor="text1"/>
                <w:lang w:val="en-CA"/>
              </w:rPr>
              <w:t>N</w:t>
            </w:r>
            <w:r w:rsidR="001D4C06">
              <w:rPr>
                <w:rFonts w:ascii="Calibri" w:eastAsia="Calibri" w:hAnsi="Calibri" w:cs="Calibri"/>
                <w:color w:val="000000" w:themeColor="text1"/>
                <w:lang w:val="en-CA"/>
              </w:rPr>
              <w:t>ew Brunswick</w:t>
            </w:r>
          </w:p>
        </w:tc>
        <w:tc>
          <w:tcPr>
            <w:tcW w:w="2520" w:type="dxa"/>
            <w:vAlign w:val="center"/>
          </w:tcPr>
          <w:p w14:paraId="161FA86A" w14:textId="14DC45EC"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YES</w:t>
            </w:r>
          </w:p>
        </w:tc>
        <w:tc>
          <w:tcPr>
            <w:tcW w:w="2520" w:type="dxa"/>
            <w:vAlign w:val="center"/>
          </w:tcPr>
          <w:p w14:paraId="285D5AC7" w14:textId="33DCC1C3"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NO</w:t>
            </w:r>
          </w:p>
        </w:tc>
        <w:tc>
          <w:tcPr>
            <w:tcW w:w="2520" w:type="dxa"/>
            <w:vAlign w:val="center"/>
          </w:tcPr>
          <w:p w14:paraId="0B8E166C" w14:textId="7DEE0CC6" w:rsidR="2AA5A056" w:rsidRPr="00500BCC" w:rsidRDefault="000D7690"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3.4%</w:t>
            </w:r>
          </w:p>
        </w:tc>
      </w:tr>
      <w:tr w:rsidR="2AA5A056" w:rsidRPr="00500BCC" w14:paraId="0126F1D5" w14:textId="77777777" w:rsidTr="008C70CB">
        <w:trPr>
          <w:trHeight w:val="283"/>
        </w:trPr>
        <w:tc>
          <w:tcPr>
            <w:tcW w:w="2518" w:type="dxa"/>
            <w:vAlign w:val="center"/>
          </w:tcPr>
          <w:p w14:paraId="7E5571CB" w14:textId="35034A06" w:rsidR="2AA5A056" w:rsidRPr="00500BCC" w:rsidRDefault="26B136D8" w:rsidP="003C2EC7">
            <w:pPr>
              <w:spacing w:after="0"/>
              <w:rPr>
                <w:lang w:val="en-CA"/>
              </w:rPr>
            </w:pPr>
            <w:r w:rsidRPr="00500BCC">
              <w:rPr>
                <w:rFonts w:ascii="Calibri" w:eastAsia="Calibri" w:hAnsi="Calibri" w:cs="Calibri"/>
                <w:color w:val="000000" w:themeColor="text1"/>
                <w:lang w:val="en-CA"/>
              </w:rPr>
              <w:t>Sask</w:t>
            </w:r>
            <w:r w:rsidR="001D4C06">
              <w:rPr>
                <w:rFonts w:ascii="Calibri" w:eastAsia="Calibri" w:hAnsi="Calibri" w:cs="Calibri"/>
                <w:color w:val="000000" w:themeColor="text1"/>
                <w:lang w:val="en-CA"/>
              </w:rPr>
              <w:t>atchewan</w:t>
            </w:r>
          </w:p>
        </w:tc>
        <w:tc>
          <w:tcPr>
            <w:tcW w:w="2520" w:type="dxa"/>
            <w:vAlign w:val="center"/>
          </w:tcPr>
          <w:p w14:paraId="221F8B77" w14:textId="49C6F4C9"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NO</w:t>
            </w:r>
          </w:p>
        </w:tc>
        <w:tc>
          <w:tcPr>
            <w:tcW w:w="2520" w:type="dxa"/>
            <w:vAlign w:val="center"/>
          </w:tcPr>
          <w:p w14:paraId="0CA719BC" w14:textId="536F5F6F" w:rsidR="2AA5A056" w:rsidRPr="00500BCC" w:rsidRDefault="26B136D8" w:rsidP="003C2EC7">
            <w:pPr>
              <w:spacing w:after="0"/>
              <w:jc w:val="center"/>
              <w:rPr>
                <w:rFonts w:ascii="Calibri" w:eastAsia="Calibri" w:hAnsi="Calibri" w:cs="Calibri"/>
                <w:color w:val="000000" w:themeColor="text1"/>
                <w:lang w:val="en-CA"/>
              </w:rPr>
            </w:pPr>
            <w:r w:rsidRPr="00500BCC">
              <w:rPr>
                <w:rFonts w:ascii="Calibri" w:eastAsia="Calibri" w:hAnsi="Calibri" w:cs="Calibri"/>
                <w:color w:val="000000" w:themeColor="text1"/>
                <w:lang w:val="en-CA"/>
              </w:rPr>
              <w:t>NO</w:t>
            </w:r>
          </w:p>
        </w:tc>
        <w:tc>
          <w:tcPr>
            <w:tcW w:w="2520" w:type="dxa"/>
            <w:vAlign w:val="center"/>
          </w:tcPr>
          <w:p w14:paraId="134D0EF6" w14:textId="5711D07F" w:rsidR="2AA5A056" w:rsidRPr="00500BCC" w:rsidRDefault="000119C1" w:rsidP="003C2EC7">
            <w:pPr>
              <w:spacing w:after="0"/>
              <w:jc w:val="center"/>
              <w:rPr>
                <w:rFonts w:ascii="Calibri" w:eastAsia="Calibri" w:hAnsi="Calibri" w:cs="Calibri"/>
                <w:color w:val="000000" w:themeColor="text1"/>
                <w:lang w:val="en-CA"/>
              </w:rPr>
            </w:pPr>
            <w:r>
              <w:rPr>
                <w:rFonts w:ascii="Calibri" w:eastAsia="Calibri" w:hAnsi="Calibri" w:cs="Calibri"/>
                <w:color w:val="000000" w:themeColor="text1"/>
                <w:lang w:val="en-CA"/>
              </w:rPr>
              <w:t>2</w:t>
            </w:r>
            <w:r w:rsidR="001B53EC">
              <w:rPr>
                <w:rFonts w:ascii="Calibri" w:eastAsia="Calibri" w:hAnsi="Calibri" w:cs="Calibri"/>
                <w:color w:val="000000" w:themeColor="text1"/>
                <w:lang w:val="en-CA"/>
              </w:rPr>
              <w:t>.</w:t>
            </w:r>
            <w:r w:rsidR="000D7690">
              <w:rPr>
                <w:rFonts w:ascii="Calibri" w:eastAsia="Calibri" w:hAnsi="Calibri" w:cs="Calibri"/>
                <w:color w:val="000000" w:themeColor="text1"/>
                <w:lang w:val="en-CA"/>
              </w:rPr>
              <w:t>1</w:t>
            </w:r>
            <w:r>
              <w:rPr>
                <w:rFonts w:ascii="Calibri" w:eastAsia="Calibri" w:hAnsi="Calibri" w:cs="Calibri"/>
                <w:color w:val="000000" w:themeColor="text1"/>
                <w:lang w:val="en-CA"/>
              </w:rPr>
              <w:t>%</w:t>
            </w:r>
          </w:p>
        </w:tc>
      </w:tr>
    </w:tbl>
    <w:p w14:paraId="46EC0312" w14:textId="77777777" w:rsidR="00415694" w:rsidRPr="00500BCC" w:rsidRDefault="00415694" w:rsidP="00AC7407">
      <w:pPr>
        <w:pStyle w:val="NoSpacing"/>
        <w:rPr>
          <w:lang w:val="en-CA"/>
        </w:rPr>
      </w:pPr>
    </w:p>
    <w:p w14:paraId="6028D321" w14:textId="1A95B72A" w:rsidR="00AC7407" w:rsidRPr="00500BCC" w:rsidRDefault="2B889DEC" w:rsidP="00087520">
      <w:pPr>
        <w:pStyle w:val="Heading3"/>
      </w:pPr>
      <w:bookmarkStart w:id="48" w:name="_Regional_requirements"/>
      <w:bookmarkStart w:id="49" w:name="_Toc622274569"/>
      <w:bookmarkStart w:id="50" w:name="_Toc129792112"/>
      <w:bookmarkStart w:id="51" w:name="_Toc128035346"/>
      <w:bookmarkEnd w:id="48"/>
      <w:r w:rsidRPr="00500BCC">
        <w:t xml:space="preserve">Regional </w:t>
      </w:r>
      <w:bookmarkEnd w:id="49"/>
      <w:r w:rsidR="002F3ED8" w:rsidRPr="00500BCC">
        <w:t>distribution</w:t>
      </w:r>
      <w:bookmarkEnd w:id="50"/>
      <w:r w:rsidR="002F3ED8" w:rsidRPr="00500BCC">
        <w:t xml:space="preserve"> </w:t>
      </w:r>
      <w:bookmarkEnd w:id="51"/>
    </w:p>
    <w:p w14:paraId="51C15C52" w14:textId="77777777" w:rsidR="0013148D" w:rsidRPr="00500BCC" w:rsidRDefault="0013148D" w:rsidP="0013148D">
      <w:pPr>
        <w:pStyle w:val="NoSpacing"/>
        <w:rPr>
          <w:lang w:val="en-CA"/>
        </w:rPr>
      </w:pPr>
    </w:p>
    <w:p w14:paraId="367A1A4A" w14:textId="49F808F6" w:rsidR="0013148D" w:rsidRPr="00500BCC" w:rsidRDefault="2D9FFECA" w:rsidP="008847CF">
      <w:pPr>
        <w:pStyle w:val="NoSpacing"/>
        <w:rPr>
          <w:lang w:val="en-CA"/>
        </w:rPr>
      </w:pPr>
      <w:r w:rsidRPr="6572A1C6">
        <w:rPr>
          <w:lang w:val="en-CA"/>
        </w:rPr>
        <w:t xml:space="preserve">Without a mechanism that aims to enable a more even distribution of ZEV supply across Canada, the current design will exacerbate regional inequities. ZEV supply will continue to be concentrated in regulated provinces (B.C. and Québec) and larger markets (Ontario) while Atlantic Canada, Prairie provinces and Northern jurisdictions remain underserved, falling further behind and locally delaying positive economic, health and environmental impacts of transportation electrification and reducing market interest for infrastructure investments. </w:t>
      </w:r>
    </w:p>
    <w:p w14:paraId="5395FB44" w14:textId="77777777" w:rsidR="008847CF" w:rsidRDefault="008847CF" w:rsidP="00FF5976">
      <w:pPr>
        <w:pStyle w:val="NoSpacing"/>
        <w:rPr>
          <w:lang w:val="en-CA"/>
        </w:rPr>
      </w:pPr>
    </w:p>
    <w:p w14:paraId="2A6A0DFD" w14:textId="05115A39" w:rsidR="00F04712" w:rsidRPr="00F04712" w:rsidRDefault="00F04712" w:rsidP="00FF5976">
      <w:pPr>
        <w:pStyle w:val="NoSpacing"/>
        <w:rPr>
          <w:lang w:val="en-CA"/>
        </w:rPr>
      </w:pPr>
      <w:r w:rsidRPr="00E97B1C">
        <w:rPr>
          <w:lang w:val="en-CA"/>
        </w:rPr>
        <w:t>Most importantly in the context of the proposed federal ZEV Sales Regulation, the regulation must be designed to generate net GHG savings. Under current conditions, ZEVs must already be sold in BC and Quebec under provincial legislation. As a result, vehicles sold in those provinces do not provide a net GHG benefit to Canada. Vehicles sold outside of those regions, however, would provide a net GHG benefit.</w:t>
      </w:r>
    </w:p>
    <w:p w14:paraId="7CA76033" w14:textId="77777777" w:rsidR="00F04712" w:rsidRPr="00500BCC" w:rsidRDefault="00F04712" w:rsidP="00FF5976">
      <w:pPr>
        <w:pStyle w:val="NoSpacing"/>
        <w:rPr>
          <w:lang w:val="en-CA"/>
        </w:rPr>
      </w:pPr>
    </w:p>
    <w:p w14:paraId="08CF28B0" w14:textId="237CAE6A" w:rsidR="00E45C00" w:rsidRPr="00500BCC" w:rsidRDefault="17D193E7" w:rsidP="00415694">
      <w:pPr>
        <w:pStyle w:val="NoSpacing"/>
        <w:rPr>
          <w:lang w:val="en-CA"/>
        </w:rPr>
      </w:pPr>
      <w:r w:rsidRPr="00500BCC">
        <w:rPr>
          <w:lang w:val="en-CA"/>
        </w:rPr>
        <w:t xml:space="preserve">In addition to raising targets </w:t>
      </w:r>
      <w:r w:rsidR="0054425E" w:rsidRPr="00500BCC">
        <w:rPr>
          <w:lang w:val="en-CA"/>
        </w:rPr>
        <w:t>to match B.C.</w:t>
      </w:r>
      <w:r w:rsidRPr="00500BCC">
        <w:rPr>
          <w:lang w:val="en-CA"/>
        </w:rPr>
        <w:t xml:space="preserve"> targets, EMC recommends that the </w:t>
      </w:r>
      <w:r w:rsidR="005E6EDC">
        <w:rPr>
          <w:lang w:val="en-CA"/>
        </w:rPr>
        <w:t>g</w:t>
      </w:r>
      <w:r w:rsidR="005E6EDC" w:rsidRPr="00500BCC">
        <w:rPr>
          <w:lang w:val="en-CA"/>
        </w:rPr>
        <w:t xml:space="preserve">overnment </w:t>
      </w:r>
      <w:r w:rsidRPr="00500BCC">
        <w:rPr>
          <w:lang w:val="en-CA"/>
        </w:rPr>
        <w:t xml:space="preserve">consider establishing a provision through which a province, territory or group of provinces or territories could adopt regional targets at or above the national targets. Under </w:t>
      </w:r>
      <w:r w:rsidR="005E6EDC">
        <w:rPr>
          <w:lang w:val="en-CA"/>
        </w:rPr>
        <w:t>such a</w:t>
      </w:r>
      <w:r w:rsidR="005E6EDC" w:rsidRPr="00500BCC">
        <w:rPr>
          <w:lang w:val="en-CA"/>
        </w:rPr>
        <w:t xml:space="preserve"> </w:t>
      </w:r>
      <w:r w:rsidRPr="00500BCC">
        <w:rPr>
          <w:lang w:val="en-CA"/>
        </w:rPr>
        <w:t>provision, an administrative agreement would allow the federal government to enforce the regional targets, reducing compliance complexity for OEMs with minimal administrative burden for the participating provinces or territories.</w:t>
      </w:r>
    </w:p>
    <w:p w14:paraId="3B567D02" w14:textId="77777777" w:rsidR="0013148D" w:rsidRPr="00500BCC" w:rsidRDefault="0013148D" w:rsidP="0013148D">
      <w:pPr>
        <w:pStyle w:val="NoSpacing"/>
        <w:rPr>
          <w:lang w:val="en-CA"/>
        </w:rPr>
      </w:pPr>
    </w:p>
    <w:p w14:paraId="75500CEC" w14:textId="6AFABBC9" w:rsidR="005A6B42" w:rsidRPr="00500BCC" w:rsidRDefault="3F3153D2" w:rsidP="005A6B42">
      <w:pPr>
        <w:pStyle w:val="Heading3"/>
      </w:pPr>
      <w:bookmarkStart w:id="52" w:name="_Toc129792113"/>
      <w:bookmarkStart w:id="53" w:name="_Toc417723783"/>
      <w:bookmarkStart w:id="54" w:name="_Toc128035347"/>
      <w:r w:rsidRPr="00500BCC">
        <w:t>Northern and remote communities</w:t>
      </w:r>
      <w:bookmarkEnd w:id="52"/>
      <w:r w:rsidRPr="00500BCC">
        <w:t xml:space="preserve"> </w:t>
      </w:r>
      <w:bookmarkEnd w:id="53"/>
      <w:bookmarkEnd w:id="54"/>
    </w:p>
    <w:p w14:paraId="50CD6ECD" w14:textId="77777777" w:rsidR="005A6B42" w:rsidRPr="00500BCC" w:rsidRDefault="005A6B42" w:rsidP="0013148D">
      <w:pPr>
        <w:pStyle w:val="NoSpacing"/>
        <w:rPr>
          <w:lang w:val="en-CA"/>
        </w:rPr>
      </w:pPr>
    </w:p>
    <w:p w14:paraId="2FF91E1C" w14:textId="62FE743D" w:rsidR="005A6B42" w:rsidRPr="00500BCC" w:rsidRDefault="51BD07DF" w:rsidP="008847CF">
      <w:pPr>
        <w:pStyle w:val="NoSpacing"/>
        <w:rPr>
          <w:lang w:val="en-CA"/>
        </w:rPr>
      </w:pPr>
      <w:r w:rsidRPr="6572A1C6">
        <w:rPr>
          <w:lang w:val="en-CA"/>
        </w:rPr>
        <w:t>The Government of Canada may consider bonus partial credits for efforts to increase ZEV sales in northern and remote communities, taking inspiration from California’s Environmental Justice allowances which earn OEMs 0</w:t>
      </w:r>
      <w:r w:rsidR="4B269DF2" w:rsidRPr="6572A1C6">
        <w:rPr>
          <w:lang w:val="en-CA"/>
        </w:rPr>
        <w:t>.</w:t>
      </w:r>
      <w:r w:rsidRPr="6572A1C6">
        <w:rPr>
          <w:lang w:val="en-CA"/>
        </w:rPr>
        <w:t xml:space="preserve">15 credit for sales in low- and middle-income communities. The eligible regions must be clearly defined and portion of compliance that can be met with these bonus partial credits should be capped at 5% or less. Also, to avoid </w:t>
      </w:r>
      <w:r w:rsidRPr="6572A1C6">
        <w:rPr>
          <w:lang w:val="en-CA"/>
        </w:rPr>
        <w:lastRenderedPageBreak/>
        <w:t>abuse of this measure, control requirements should be defined such as granting bonus partial credits only after the vehicle has remained registered in an eligible community for two years.</w:t>
      </w:r>
    </w:p>
    <w:p w14:paraId="1C5B1E27" w14:textId="68FDC486" w:rsidR="00145DC1" w:rsidRDefault="00145DC1" w:rsidP="00AC7407">
      <w:pPr>
        <w:pStyle w:val="NoSpacing"/>
        <w:rPr>
          <w:lang w:val="en-CA"/>
        </w:rPr>
      </w:pPr>
    </w:p>
    <w:p w14:paraId="55EFB54E" w14:textId="77777777" w:rsidR="00602368" w:rsidRDefault="00602368" w:rsidP="00602368">
      <w:pPr>
        <w:pStyle w:val="Heading2"/>
      </w:pPr>
      <w:bookmarkStart w:id="55" w:name="_Toc129792114"/>
      <w:r>
        <w:t>Regulatory analysis section</w:t>
      </w:r>
      <w:bookmarkEnd w:id="55"/>
    </w:p>
    <w:p w14:paraId="680B5FDA" w14:textId="77777777" w:rsidR="00602368" w:rsidRDefault="00602368" w:rsidP="00602368">
      <w:pPr>
        <w:pStyle w:val="NoSpacing"/>
        <w:rPr>
          <w:lang w:val="en-CA"/>
        </w:rPr>
      </w:pPr>
    </w:p>
    <w:p w14:paraId="17692B54" w14:textId="77777777" w:rsidR="00602368" w:rsidRPr="008C5D3F" w:rsidRDefault="00602368" w:rsidP="00602368">
      <w:pPr>
        <w:pStyle w:val="NoSpacing"/>
        <w:rPr>
          <w:lang w:val="en-CA"/>
        </w:rPr>
      </w:pPr>
      <w:r w:rsidRPr="008C5D3F">
        <w:rPr>
          <w:lang w:val="en-CA"/>
        </w:rPr>
        <w:t>Traffic-related air pollution (TRAP) has serious health impacts. In a report published in February 2022, Health Canada estimated that TRAP was associated with over 1,200 premature deaths in Canada in 2015. Non-fatal health outcomes included 2.7 million acute respiratory symptom days, 1.1 million restricted activity days and 210,000 asthma symptom days per year. The total annual monetary value of the health burden was estimated at $9.5 billion (CAD 2015), with $9 billion being associated with premature deaths</w:t>
      </w:r>
      <w:r w:rsidRPr="008C5D3F">
        <w:rPr>
          <w:rStyle w:val="FootnoteReference"/>
          <w:lang w:val="en-CA"/>
        </w:rPr>
        <w:footnoteReference w:id="15"/>
      </w:r>
      <w:r w:rsidRPr="008C5D3F">
        <w:rPr>
          <w:lang w:val="en-CA"/>
        </w:rPr>
        <w:t>.</w:t>
      </w:r>
    </w:p>
    <w:p w14:paraId="38AFF608" w14:textId="77777777" w:rsidR="00602368" w:rsidRPr="008C5D3F" w:rsidRDefault="00602368" w:rsidP="00602368">
      <w:pPr>
        <w:pStyle w:val="NoSpacing"/>
        <w:rPr>
          <w:lang w:val="en-CA"/>
        </w:rPr>
      </w:pPr>
    </w:p>
    <w:p w14:paraId="517E5371" w14:textId="513EBD61" w:rsidR="00602368" w:rsidRPr="008C5D3F" w:rsidRDefault="00602368" w:rsidP="00602368">
      <w:pPr>
        <w:pStyle w:val="NoSpacing"/>
        <w:rPr>
          <w:lang w:val="en-CA"/>
        </w:rPr>
      </w:pPr>
      <w:r w:rsidRPr="008C5D3F">
        <w:rPr>
          <w:lang w:val="en-CA"/>
        </w:rPr>
        <w:t xml:space="preserve">The regulatory analysis does not include calculations to monetize the health co-benefits of the proposed regulation. The Atmospheric Fund (TAF) used Health Canada data to analyse health co-benefits that would result from </w:t>
      </w:r>
      <w:r w:rsidR="00A616B1" w:rsidRPr="008C5D3F">
        <w:rPr>
          <w:lang w:val="en-CA"/>
        </w:rPr>
        <w:t xml:space="preserve">reaching the </w:t>
      </w:r>
      <w:r w:rsidR="003C4BB6" w:rsidRPr="008C5D3F">
        <w:rPr>
          <w:lang w:val="en-CA"/>
        </w:rPr>
        <w:t xml:space="preserve">ZEV </w:t>
      </w:r>
      <w:r w:rsidR="00A616B1" w:rsidRPr="008C5D3F">
        <w:rPr>
          <w:lang w:val="en-CA"/>
        </w:rPr>
        <w:t>sales targets</w:t>
      </w:r>
      <w:r w:rsidRPr="008C5D3F">
        <w:rPr>
          <w:lang w:val="en-CA"/>
        </w:rPr>
        <w:t xml:space="preserve"> proposed regulation. When monetized, the health co-benefits reach over $90 billion (2025-20250), far exceeding the total net benefits of $28.6 billion presented in the regulatory analysis</w:t>
      </w:r>
      <w:r w:rsidR="00DF171C" w:rsidRPr="008C5D3F">
        <w:rPr>
          <w:rStyle w:val="FootnoteReference"/>
          <w:lang w:val="en-CA"/>
        </w:rPr>
        <w:footnoteReference w:id="16"/>
      </w:r>
      <w:r w:rsidRPr="008C5D3F">
        <w:rPr>
          <w:lang w:val="en-CA"/>
        </w:rPr>
        <w:t>.</w:t>
      </w:r>
    </w:p>
    <w:p w14:paraId="6A694668" w14:textId="33100138" w:rsidR="00602368" w:rsidRDefault="00602368" w:rsidP="00AC7407">
      <w:pPr>
        <w:pStyle w:val="NoSpacing"/>
        <w:rPr>
          <w:lang w:val="en-CA"/>
        </w:rPr>
      </w:pPr>
    </w:p>
    <w:p w14:paraId="3F633D06" w14:textId="0B801E25" w:rsidR="00514723" w:rsidRPr="00500BCC" w:rsidRDefault="00514723" w:rsidP="00AC3B57">
      <w:pPr>
        <w:pStyle w:val="Heading2"/>
      </w:pPr>
      <w:bookmarkStart w:id="56" w:name="_Toc128667876"/>
      <w:bookmarkStart w:id="57" w:name="_Toc128667877"/>
      <w:bookmarkStart w:id="58" w:name="_Toc128667878"/>
      <w:bookmarkStart w:id="59" w:name="_Toc128667879"/>
      <w:bookmarkStart w:id="60" w:name="_Toc128667880"/>
      <w:bookmarkStart w:id="61" w:name="_Toc128667881"/>
      <w:bookmarkStart w:id="62" w:name="_Toc128035349"/>
      <w:bookmarkStart w:id="63" w:name="_Toc129792115"/>
      <w:bookmarkStart w:id="64" w:name="_Toc1873388959"/>
      <w:bookmarkEnd w:id="56"/>
      <w:bookmarkEnd w:id="57"/>
      <w:bookmarkEnd w:id="58"/>
      <w:bookmarkEnd w:id="59"/>
      <w:bookmarkEnd w:id="60"/>
      <w:bookmarkEnd w:id="61"/>
      <w:r w:rsidRPr="00500BCC">
        <w:t>Implementation, compliance and enforcement</w:t>
      </w:r>
      <w:r w:rsidR="00775419" w:rsidRPr="00500BCC">
        <w:t>,</w:t>
      </w:r>
      <w:r w:rsidRPr="00500BCC">
        <w:t xml:space="preserve"> and service standards section</w:t>
      </w:r>
      <w:bookmarkEnd w:id="62"/>
      <w:bookmarkEnd w:id="63"/>
      <w:r w:rsidRPr="00500BCC">
        <w:t xml:space="preserve"> </w:t>
      </w:r>
      <w:bookmarkEnd w:id="64"/>
    </w:p>
    <w:p w14:paraId="6B752A3C" w14:textId="77777777" w:rsidR="00514723" w:rsidRPr="00500BCC" w:rsidRDefault="00514723" w:rsidP="00514723">
      <w:pPr>
        <w:pStyle w:val="NoSpacing"/>
        <w:rPr>
          <w:lang w:val="en-CA"/>
        </w:rPr>
      </w:pPr>
    </w:p>
    <w:p w14:paraId="15474BDE" w14:textId="40BF94BF" w:rsidR="00077C7F" w:rsidRPr="00500BCC" w:rsidRDefault="1DD3096E" w:rsidP="00514723">
      <w:pPr>
        <w:pStyle w:val="NoSpacing"/>
        <w:rPr>
          <w:lang w:val="en-CA"/>
        </w:rPr>
      </w:pPr>
      <w:r w:rsidRPr="6572A1C6">
        <w:rPr>
          <w:lang w:val="en-CA"/>
        </w:rPr>
        <w:t xml:space="preserve">The absence of </w:t>
      </w:r>
      <w:r w:rsidR="5B98E60C" w:rsidRPr="6572A1C6">
        <w:rPr>
          <w:lang w:val="en-CA"/>
        </w:rPr>
        <w:t xml:space="preserve">clearly defined penalties for non-compliance results in uncertainty </w:t>
      </w:r>
      <w:r w:rsidR="549F44C5" w:rsidRPr="6572A1C6">
        <w:rPr>
          <w:lang w:val="en-CA"/>
        </w:rPr>
        <w:t xml:space="preserve">in repercussions </w:t>
      </w:r>
      <w:r w:rsidR="4D8B7527" w:rsidRPr="6572A1C6">
        <w:rPr>
          <w:lang w:val="en-CA"/>
        </w:rPr>
        <w:t>for OEMs who fail to meet the ZEV sales target</w:t>
      </w:r>
      <w:r w:rsidR="3313B309" w:rsidRPr="6572A1C6">
        <w:rPr>
          <w:lang w:val="en-CA"/>
        </w:rPr>
        <w:t>s.</w:t>
      </w:r>
      <w:r w:rsidR="68535D36" w:rsidRPr="6572A1C6">
        <w:rPr>
          <w:lang w:val="en-CA"/>
        </w:rPr>
        <w:t xml:space="preserve"> </w:t>
      </w:r>
      <w:r w:rsidR="22F21ABF" w:rsidRPr="6572A1C6">
        <w:rPr>
          <w:lang w:val="en-CA"/>
        </w:rPr>
        <w:t xml:space="preserve">Provisions under CEPA </w:t>
      </w:r>
      <w:r w:rsidR="3346A07D" w:rsidRPr="6572A1C6">
        <w:rPr>
          <w:lang w:val="en-CA"/>
        </w:rPr>
        <w:t xml:space="preserve">give no indication of </w:t>
      </w:r>
      <w:r w:rsidR="4CC4C284" w:rsidRPr="6572A1C6">
        <w:rPr>
          <w:lang w:val="en-CA"/>
        </w:rPr>
        <w:t xml:space="preserve">when prosecution </w:t>
      </w:r>
      <w:r w:rsidR="3313B309" w:rsidRPr="6572A1C6">
        <w:rPr>
          <w:lang w:val="en-CA"/>
        </w:rPr>
        <w:t>c</w:t>
      </w:r>
      <w:r w:rsidR="4CC4C284" w:rsidRPr="6572A1C6">
        <w:rPr>
          <w:lang w:val="en-CA"/>
        </w:rPr>
        <w:t>ould take place nor how long the process may take</w:t>
      </w:r>
      <w:r w:rsidR="1AA54839" w:rsidRPr="6572A1C6">
        <w:rPr>
          <w:lang w:val="en-CA"/>
        </w:rPr>
        <w:t>.</w:t>
      </w:r>
      <w:r w:rsidR="6FBE746D" w:rsidRPr="6572A1C6">
        <w:rPr>
          <w:lang w:val="en-CA"/>
        </w:rPr>
        <w:t xml:space="preserve"> </w:t>
      </w:r>
      <w:r w:rsidR="00EF6C33" w:rsidRPr="6572A1C6">
        <w:rPr>
          <w:lang w:val="en-CA"/>
        </w:rPr>
        <w:t xml:space="preserve">EMC strongly </w:t>
      </w:r>
      <w:r w:rsidR="001A7865" w:rsidRPr="6572A1C6">
        <w:rPr>
          <w:lang w:val="en-CA"/>
        </w:rPr>
        <w:t xml:space="preserve">recommends exploring options </w:t>
      </w:r>
      <w:r w:rsidR="006B7935" w:rsidRPr="6572A1C6">
        <w:rPr>
          <w:lang w:val="en-CA"/>
        </w:rPr>
        <w:t xml:space="preserve">that would </w:t>
      </w:r>
      <w:r w:rsidR="00DA5043" w:rsidRPr="6572A1C6">
        <w:rPr>
          <w:lang w:val="en-CA"/>
        </w:rPr>
        <w:t>resemble</w:t>
      </w:r>
      <w:r w:rsidR="009B7440" w:rsidRPr="6572A1C6">
        <w:rPr>
          <w:lang w:val="en-CA"/>
        </w:rPr>
        <w:t xml:space="preserve"> an administrative fee of </w:t>
      </w:r>
      <w:r w:rsidR="771BF219" w:rsidRPr="6572A1C6">
        <w:rPr>
          <w:lang w:val="en-CA"/>
        </w:rPr>
        <w:t>$</w:t>
      </w:r>
      <w:r w:rsidR="009B7440" w:rsidRPr="6572A1C6">
        <w:rPr>
          <w:lang w:val="en-CA"/>
        </w:rPr>
        <w:t>20,000</w:t>
      </w:r>
      <w:r w:rsidR="001E2035" w:rsidRPr="6572A1C6">
        <w:rPr>
          <w:lang w:val="en-CA"/>
        </w:rPr>
        <w:t xml:space="preserve"> </w:t>
      </w:r>
      <w:r w:rsidR="00493082">
        <w:rPr>
          <w:lang w:val="en-CA"/>
        </w:rPr>
        <w:t>for each</w:t>
      </w:r>
      <w:r w:rsidR="001E2035" w:rsidRPr="6572A1C6">
        <w:rPr>
          <w:lang w:val="en-CA"/>
        </w:rPr>
        <w:t xml:space="preserve"> credit</w:t>
      </w:r>
      <w:r w:rsidR="00493082">
        <w:rPr>
          <w:lang w:val="en-CA"/>
        </w:rPr>
        <w:t xml:space="preserve"> short of compliance</w:t>
      </w:r>
      <w:r w:rsidR="001E2035" w:rsidRPr="6572A1C6">
        <w:rPr>
          <w:lang w:val="en-CA"/>
        </w:rPr>
        <w:t xml:space="preserve">, as this is now </w:t>
      </w:r>
      <w:r w:rsidR="00DA5043" w:rsidRPr="6572A1C6">
        <w:rPr>
          <w:lang w:val="en-CA"/>
        </w:rPr>
        <w:t xml:space="preserve">the </w:t>
      </w:r>
      <w:r w:rsidR="00E35FC5" w:rsidRPr="6572A1C6">
        <w:rPr>
          <w:lang w:val="en-CA"/>
        </w:rPr>
        <w:t>North American</w:t>
      </w:r>
      <w:r w:rsidR="00DA5043" w:rsidRPr="6572A1C6">
        <w:rPr>
          <w:lang w:val="en-CA"/>
        </w:rPr>
        <w:t xml:space="preserve"> standard </w:t>
      </w:r>
      <w:r w:rsidR="009B7440" w:rsidRPr="6572A1C6">
        <w:rPr>
          <w:lang w:val="en-CA"/>
        </w:rPr>
        <w:t>applied in California, B.C. and Quebec</w:t>
      </w:r>
      <w:r w:rsidR="001E2035" w:rsidRPr="6572A1C6">
        <w:rPr>
          <w:lang w:val="en-CA"/>
        </w:rPr>
        <w:t xml:space="preserve"> and has proven to be the most eff</w:t>
      </w:r>
      <w:r w:rsidR="00B621E6" w:rsidRPr="6572A1C6">
        <w:rPr>
          <w:lang w:val="en-CA"/>
        </w:rPr>
        <w:t xml:space="preserve">ective policy to motivate compliance. </w:t>
      </w:r>
    </w:p>
    <w:p w14:paraId="4CE8AD70" w14:textId="77777777" w:rsidR="002C3CDD" w:rsidRPr="00500BCC" w:rsidRDefault="002C3CDD" w:rsidP="50657CFB">
      <w:pPr>
        <w:pStyle w:val="NoSpacing"/>
        <w:rPr>
          <w:lang w:val="en-CA"/>
        </w:rPr>
      </w:pPr>
      <w:bookmarkStart w:id="65" w:name="_Performance_measurement_and"/>
      <w:bookmarkEnd w:id="65"/>
    </w:p>
    <w:p w14:paraId="087E5312" w14:textId="429D4F79" w:rsidR="002C3CDD" w:rsidRPr="00500BCC" w:rsidRDefault="00490C7B" w:rsidP="00490C7B">
      <w:pPr>
        <w:pStyle w:val="Heading1"/>
      </w:pPr>
      <w:bookmarkStart w:id="66" w:name="_Toc129792116"/>
      <w:r w:rsidRPr="00500BCC">
        <w:t>Conclusion</w:t>
      </w:r>
      <w:bookmarkEnd w:id="66"/>
    </w:p>
    <w:p w14:paraId="31601CA5" w14:textId="77777777" w:rsidR="00490C7B" w:rsidRPr="00500BCC" w:rsidRDefault="00490C7B" w:rsidP="00490C7B">
      <w:pPr>
        <w:pStyle w:val="NoSpacing"/>
        <w:rPr>
          <w:lang w:val="en-CA"/>
        </w:rPr>
      </w:pPr>
    </w:p>
    <w:p w14:paraId="2C743EDD" w14:textId="5756CDFE" w:rsidR="00500BCC" w:rsidRDefault="008E5C12" w:rsidP="00490C7B">
      <w:pPr>
        <w:pStyle w:val="NoSpacing"/>
        <w:rPr>
          <w:lang w:val="en-CA"/>
        </w:rPr>
      </w:pPr>
      <w:r w:rsidRPr="6572A1C6">
        <w:rPr>
          <w:lang w:val="en-CA"/>
        </w:rPr>
        <w:t xml:space="preserve">The comments and recommendations expressed in this document were prepared in close collaboration with multiple EMC members across the industry ecosystem. </w:t>
      </w:r>
      <w:r w:rsidR="00EC65A6" w:rsidRPr="6572A1C6">
        <w:rPr>
          <w:lang w:val="en-CA"/>
        </w:rPr>
        <w:t>When analysing the proposed regulation, o</w:t>
      </w:r>
      <w:r w:rsidRPr="6572A1C6">
        <w:rPr>
          <w:lang w:val="en-CA"/>
        </w:rPr>
        <w:t>ur members expressed the highest levels of concern on sales targets, regional distribution, and compliance enforcement options. Higher sales targets are required to ensure a feasible path to 100% ZEV sales in 2035. Higher targets will also partially address regional distribution. To fully ensure regional distribution</w:t>
      </w:r>
      <w:r w:rsidR="00EC65A6" w:rsidRPr="6572A1C6">
        <w:rPr>
          <w:lang w:val="en-CA"/>
        </w:rPr>
        <w:t xml:space="preserve"> equity</w:t>
      </w:r>
      <w:r w:rsidRPr="6572A1C6">
        <w:rPr>
          <w:lang w:val="en-CA"/>
        </w:rPr>
        <w:t xml:space="preserve">, we have proposed an opt-in </w:t>
      </w:r>
      <w:r w:rsidR="00EC65A6" w:rsidRPr="6572A1C6">
        <w:rPr>
          <w:lang w:val="en-CA"/>
        </w:rPr>
        <w:t>program</w:t>
      </w:r>
      <w:r w:rsidRPr="6572A1C6">
        <w:rPr>
          <w:lang w:val="en-CA"/>
        </w:rPr>
        <w:t xml:space="preserve"> </w:t>
      </w:r>
      <w:r w:rsidR="00EC65A6" w:rsidRPr="6572A1C6">
        <w:rPr>
          <w:lang w:val="en-CA"/>
        </w:rPr>
        <w:t>for provinces and territories that want to set subnational targets. Finally, as a solution to compliance enforcement, our proposed credit clearance mechanism has the added advantages of eliminating problems the 3-year rolling deficit would cr</w:t>
      </w:r>
      <w:r w:rsidR="007A79D8" w:rsidRPr="6572A1C6">
        <w:rPr>
          <w:lang w:val="en-CA"/>
        </w:rPr>
        <w:t>e</w:t>
      </w:r>
      <w:r w:rsidR="00EC65A6" w:rsidRPr="6572A1C6">
        <w:rPr>
          <w:lang w:val="en-CA"/>
        </w:rPr>
        <w:t xml:space="preserve">ate while still offering compliance flexibilities to OEMs that may need them to meet their obligations. </w:t>
      </w:r>
    </w:p>
    <w:p w14:paraId="106DF8B5" w14:textId="65EAEEE6" w:rsidR="007A79D8" w:rsidRDefault="007A79D8" w:rsidP="00490C7B">
      <w:pPr>
        <w:pStyle w:val="NoSpacing"/>
        <w:rPr>
          <w:lang w:val="en-CA"/>
        </w:rPr>
      </w:pPr>
    </w:p>
    <w:p w14:paraId="0632DBEC" w14:textId="0BE669B0" w:rsidR="00500BCC" w:rsidRPr="00500BCC" w:rsidRDefault="00500BCC" w:rsidP="00500BCC">
      <w:pPr>
        <w:pStyle w:val="NoSpacing"/>
        <w:rPr>
          <w:rFonts w:ascii="Times New Roman" w:hAnsi="Times New Roman" w:cs="Times New Roman"/>
          <w:sz w:val="24"/>
          <w:szCs w:val="24"/>
          <w:lang w:val="en-CA" w:eastAsia="fr-CA"/>
        </w:rPr>
      </w:pPr>
      <w:r w:rsidRPr="00500BCC">
        <w:rPr>
          <w:lang w:val="en-CA" w:eastAsia="fr-CA"/>
        </w:rPr>
        <w:t xml:space="preserve">While the </w:t>
      </w:r>
      <w:r w:rsidR="00AC0847" w:rsidRPr="00500BCC">
        <w:rPr>
          <w:lang w:val="en-CA" w:eastAsia="fr-CA"/>
        </w:rPr>
        <w:t>focus</w:t>
      </w:r>
      <w:r w:rsidRPr="00500BCC">
        <w:rPr>
          <w:lang w:val="en-CA" w:eastAsia="fr-CA"/>
        </w:rPr>
        <w:t xml:space="preserve"> of this document is on recommendations pertaining to the Passenger Automobile and Light Duty Vehicle Sector, the need prevails to ensure Canada improves its position as an attractive market for Medium and Heavy-Duty Electric Vehicle (MHD EV) deployment. This is imperative to achieve GHG reduction targets given the sector's increasing contribution to GHG emissions. Means to accelerate this </w:t>
      </w:r>
      <w:r w:rsidR="00EC65A6" w:rsidRPr="00500BCC">
        <w:rPr>
          <w:lang w:val="en-CA" w:eastAsia="fr-CA"/>
        </w:rPr>
        <w:t>segment</w:t>
      </w:r>
      <w:r w:rsidRPr="00500BCC">
        <w:rPr>
          <w:lang w:val="en-CA" w:eastAsia="fr-CA"/>
        </w:rPr>
        <w:t xml:space="preserve"> are closely tied to the new landscape and pressures created by the USA Inflation Reduction Act, as well as retailer and shipper commitments to reduce their scope 3 emissions. </w:t>
      </w:r>
    </w:p>
    <w:p w14:paraId="682BA89A" w14:textId="77777777" w:rsidR="00500BCC" w:rsidRPr="00500BCC" w:rsidRDefault="00500BCC" w:rsidP="00500BCC">
      <w:pPr>
        <w:pStyle w:val="NoSpacing"/>
        <w:rPr>
          <w:rFonts w:ascii="Times New Roman" w:hAnsi="Times New Roman" w:cs="Times New Roman"/>
          <w:sz w:val="24"/>
          <w:szCs w:val="24"/>
          <w:lang w:val="en-CA" w:eastAsia="fr-CA"/>
        </w:rPr>
      </w:pPr>
    </w:p>
    <w:p w14:paraId="6B875D69" w14:textId="388203B0" w:rsidR="00500BCC" w:rsidRPr="00500BCC" w:rsidRDefault="00500BCC" w:rsidP="00500BCC">
      <w:pPr>
        <w:pStyle w:val="NoSpacing"/>
        <w:rPr>
          <w:lang w:val="en-CA" w:eastAsia="fr-CA"/>
        </w:rPr>
      </w:pPr>
      <w:r w:rsidRPr="00500BCC">
        <w:rPr>
          <w:lang w:val="en-CA" w:eastAsia="fr-CA"/>
        </w:rPr>
        <w:lastRenderedPageBreak/>
        <w:t>Measures to close gaps in the eMHDV ecosystem</w:t>
      </w:r>
      <w:r w:rsidR="00155B53">
        <w:rPr>
          <w:rStyle w:val="FootnoteReference"/>
          <w:lang w:val="en-CA" w:eastAsia="fr-CA"/>
        </w:rPr>
        <w:footnoteReference w:id="17"/>
      </w:r>
      <w:r w:rsidRPr="00500BCC">
        <w:rPr>
          <w:lang w:val="en-CA" w:eastAsia="fr-CA"/>
        </w:rPr>
        <w:t xml:space="preserve"> and ensure Canada becomes an attractive market for MHD EV deployment include (but are not limited to):</w:t>
      </w:r>
    </w:p>
    <w:p w14:paraId="6DEFFACD" w14:textId="43176AF9" w:rsidR="00500BCC" w:rsidRPr="00500BCC" w:rsidRDefault="00500BCC" w:rsidP="00500BCC">
      <w:pPr>
        <w:pStyle w:val="NoSpacing"/>
        <w:rPr>
          <w:rFonts w:ascii="Times New Roman" w:hAnsi="Times New Roman" w:cs="Times New Roman"/>
          <w:sz w:val="24"/>
          <w:szCs w:val="24"/>
          <w:lang w:val="en-CA" w:eastAsia="fr-CA"/>
        </w:rPr>
      </w:pPr>
    </w:p>
    <w:p w14:paraId="2A758907" w14:textId="02251EF2" w:rsidR="00500BCC" w:rsidRDefault="00500BCC" w:rsidP="00811DF4">
      <w:pPr>
        <w:pStyle w:val="NoSpacing"/>
        <w:numPr>
          <w:ilvl w:val="1"/>
          <w:numId w:val="26"/>
        </w:numPr>
        <w:ind w:left="360"/>
        <w:rPr>
          <w:lang w:val="en-CA" w:eastAsia="fr-CA"/>
        </w:rPr>
      </w:pPr>
      <w:r w:rsidRPr="00500BCC">
        <w:rPr>
          <w:b/>
          <w:bCs/>
          <w:lang w:val="en-CA" w:eastAsia="fr-CA"/>
        </w:rPr>
        <w:t>Close the supply chain gap</w:t>
      </w:r>
      <w:r w:rsidRPr="00500BCC">
        <w:rPr>
          <w:lang w:val="en-CA" w:eastAsia="fr-CA"/>
        </w:rPr>
        <w:t xml:space="preserve">. This can be done by bringing manufacturing of both new and repowered MHD EVs to Canada. Simplifying homologation in step with US </w:t>
      </w:r>
      <w:r w:rsidR="00EC65A6" w:rsidRPr="00500BCC">
        <w:rPr>
          <w:lang w:val="en-CA" w:eastAsia="fr-CA"/>
        </w:rPr>
        <w:t>approaches and</w:t>
      </w:r>
      <w:r w:rsidRPr="00500BCC">
        <w:rPr>
          <w:lang w:val="en-CA" w:eastAsia="fr-CA"/>
        </w:rPr>
        <w:t xml:space="preserve"> having a Federal ZEV mandate help supply. In the case of repowering, this can complement a “MHD scrap-it program” and create local green jobs in R&amp;D and manufacturing capacity. This helps to build out EV manufacturing and service capacity, while reducing vulnerability to global supply chains. </w:t>
      </w:r>
    </w:p>
    <w:p w14:paraId="6520D7D8" w14:textId="77777777" w:rsidR="00EC65A6" w:rsidRPr="00500BCC" w:rsidRDefault="00EC65A6" w:rsidP="00811DF4">
      <w:pPr>
        <w:pStyle w:val="NoSpacing"/>
        <w:ind w:left="360"/>
        <w:rPr>
          <w:lang w:val="en-CA" w:eastAsia="fr-CA"/>
        </w:rPr>
      </w:pPr>
    </w:p>
    <w:p w14:paraId="08FAF261" w14:textId="38056093" w:rsidR="00500BCC" w:rsidRDefault="00500BCC" w:rsidP="00811DF4">
      <w:pPr>
        <w:pStyle w:val="NoSpacing"/>
        <w:numPr>
          <w:ilvl w:val="1"/>
          <w:numId w:val="26"/>
        </w:numPr>
        <w:ind w:left="360"/>
        <w:rPr>
          <w:lang w:val="en-CA" w:eastAsia="fr-CA"/>
        </w:rPr>
      </w:pPr>
      <w:r w:rsidRPr="1AE3A0C8">
        <w:rPr>
          <w:b/>
          <w:bCs/>
          <w:lang w:val="en-CA" w:eastAsia="fr-CA"/>
        </w:rPr>
        <w:t>Simplify the process of applying for incentives</w:t>
      </w:r>
      <w:r w:rsidRPr="1AE3A0C8">
        <w:rPr>
          <w:lang w:val="en-CA" w:eastAsia="fr-CA"/>
        </w:rPr>
        <w:t xml:space="preserve">. Current incentives are catered to large corporations that own their land and fleet, while the reality is often more complex and involves many different parties–including many SMEs and owner operators driving the vehicles–that work together in the transportation of goods. The current application process does not cater to real world complexities in the transportation ecosystem, hence forming a barrier to program uptake. One way to simplify the process is mandating utilities to prioritize projects for example, based on GHG avoided such as is currently done in provinces such as </w:t>
      </w:r>
      <w:bookmarkStart w:id="67" w:name="_Int_ykDXageX"/>
      <w:r w:rsidRPr="1AE3A0C8">
        <w:rPr>
          <w:lang w:val="en-CA" w:eastAsia="fr-CA"/>
        </w:rPr>
        <w:t>BC</w:t>
      </w:r>
      <w:bookmarkEnd w:id="67"/>
      <w:r w:rsidRPr="1AE3A0C8">
        <w:rPr>
          <w:lang w:val="en-CA" w:eastAsia="fr-CA"/>
        </w:rPr>
        <w:t xml:space="preserve"> and Quebec. </w:t>
      </w:r>
    </w:p>
    <w:p w14:paraId="4156AF7C" w14:textId="77777777" w:rsidR="00EC65A6" w:rsidRPr="00EC65A6" w:rsidRDefault="00EC65A6" w:rsidP="00811DF4">
      <w:pPr>
        <w:pStyle w:val="NoSpacing"/>
        <w:ind w:left="360"/>
        <w:rPr>
          <w:lang w:val="en-CA" w:eastAsia="fr-CA"/>
        </w:rPr>
      </w:pPr>
    </w:p>
    <w:p w14:paraId="5188EDFB" w14:textId="2D095D97" w:rsidR="00500BCC" w:rsidRPr="00500BCC" w:rsidRDefault="00500BCC" w:rsidP="00811DF4">
      <w:pPr>
        <w:pStyle w:val="NoSpacing"/>
        <w:numPr>
          <w:ilvl w:val="1"/>
          <w:numId w:val="26"/>
        </w:numPr>
        <w:ind w:left="360"/>
        <w:rPr>
          <w:rFonts w:ascii="Times New Roman" w:hAnsi="Times New Roman" w:cs="Times New Roman"/>
          <w:sz w:val="24"/>
          <w:szCs w:val="24"/>
          <w:lang w:val="en-CA" w:eastAsia="fr-CA"/>
        </w:rPr>
      </w:pPr>
      <w:r w:rsidRPr="00500BCC">
        <w:rPr>
          <w:b/>
          <w:bCs/>
          <w:lang w:val="en-CA" w:eastAsia="fr-CA"/>
        </w:rPr>
        <w:t>Fu</w:t>
      </w:r>
      <w:r w:rsidR="00EC65A6">
        <w:rPr>
          <w:b/>
          <w:bCs/>
          <w:lang w:val="en-CA" w:eastAsia="fr-CA"/>
        </w:rPr>
        <w:t>r</w:t>
      </w:r>
      <w:r w:rsidRPr="00500BCC">
        <w:rPr>
          <w:b/>
          <w:bCs/>
          <w:lang w:val="en-CA" w:eastAsia="fr-CA"/>
        </w:rPr>
        <w:t>ther improve deployment and reduce CAPEX</w:t>
      </w:r>
      <w:r w:rsidRPr="00500BCC">
        <w:rPr>
          <w:lang w:val="en-CA" w:eastAsia="fr-CA"/>
        </w:rPr>
        <w:t xml:space="preserve"> by setting clear targets for charging infrastructure installation and MHD EV adoption and continue providing grant-based incentive programs (with a simplified application process) and implementing tax rebates and exemptions for charging infrastructure equipment and installation.</w:t>
      </w:r>
    </w:p>
    <w:p w14:paraId="7FDE6CA3" w14:textId="77777777" w:rsidR="00500BCC" w:rsidRPr="00500BCC" w:rsidRDefault="00500BCC" w:rsidP="00500BCC">
      <w:pPr>
        <w:pStyle w:val="NoSpacing"/>
        <w:rPr>
          <w:lang w:val="en-CA"/>
        </w:rPr>
      </w:pPr>
    </w:p>
    <w:p w14:paraId="1A165140" w14:textId="6506E992" w:rsidR="002D0BD0" w:rsidRDefault="00EC65A6" w:rsidP="00500BCC">
      <w:pPr>
        <w:pStyle w:val="NoSpacing"/>
        <w:rPr>
          <w:lang w:val="en-CA"/>
        </w:rPr>
      </w:pPr>
      <w:r>
        <w:rPr>
          <w:lang w:val="en-CA"/>
        </w:rPr>
        <w:t>Thank you for your consideration of our contribution to this consultation. We remain available</w:t>
      </w:r>
      <w:r w:rsidR="007A79D8">
        <w:rPr>
          <w:lang w:val="en-CA"/>
        </w:rPr>
        <w:t xml:space="preserve"> for, and look forward to, </w:t>
      </w:r>
      <w:r>
        <w:rPr>
          <w:lang w:val="en-CA"/>
        </w:rPr>
        <w:t>further discussion</w:t>
      </w:r>
      <w:r w:rsidR="007A79D8">
        <w:rPr>
          <w:lang w:val="en-CA"/>
        </w:rPr>
        <w:t>s</w:t>
      </w:r>
      <w:r>
        <w:rPr>
          <w:lang w:val="en-CA"/>
        </w:rPr>
        <w:t xml:space="preserve"> with government officials on our recommendations. </w:t>
      </w:r>
    </w:p>
    <w:p w14:paraId="14715351" w14:textId="531E26C9" w:rsidR="00EC65A6" w:rsidRDefault="00EC65A6" w:rsidP="00500BCC">
      <w:pPr>
        <w:pStyle w:val="NoSpacing"/>
        <w:rPr>
          <w:lang w:val="en-CA"/>
        </w:rPr>
      </w:pPr>
    </w:p>
    <w:p w14:paraId="4F931495" w14:textId="77777777" w:rsidR="007A79D8" w:rsidRDefault="007A79D8" w:rsidP="00500BCC">
      <w:pPr>
        <w:pStyle w:val="NoSpacing"/>
        <w:rPr>
          <w:lang w:val="en-CA"/>
        </w:rPr>
      </w:pPr>
    </w:p>
    <w:p w14:paraId="1B35B2E6" w14:textId="7A0B8181" w:rsidR="007A79D8" w:rsidRDefault="007A2E63" w:rsidP="00500BCC">
      <w:pPr>
        <w:pStyle w:val="NoSpacing"/>
        <w:rPr>
          <w:lang w:val="en-CA"/>
        </w:rPr>
      </w:pPr>
      <w:r>
        <w:rPr>
          <w:noProof/>
        </w:rPr>
        <w:drawing>
          <wp:inline distT="0" distB="0" distL="0" distR="0" wp14:anchorId="26742ED8" wp14:editId="5235ED68">
            <wp:extent cx="1351523" cy="58578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3" cstate="print"/>
                    <a:stretch>
                      <a:fillRect/>
                    </a:stretch>
                  </pic:blipFill>
                  <pic:spPr>
                    <a:xfrm>
                      <a:off x="0" y="0"/>
                      <a:ext cx="1351523" cy="585787"/>
                    </a:xfrm>
                    <a:prstGeom prst="rect">
                      <a:avLst/>
                    </a:prstGeom>
                  </pic:spPr>
                </pic:pic>
              </a:graphicData>
            </a:graphic>
          </wp:inline>
        </w:drawing>
      </w:r>
    </w:p>
    <w:p w14:paraId="5440E980" w14:textId="77777777" w:rsidR="00231E64" w:rsidRDefault="00231E64" w:rsidP="00500BCC">
      <w:pPr>
        <w:pStyle w:val="NoSpacing"/>
        <w:rPr>
          <w:lang w:val="en-CA"/>
        </w:rPr>
      </w:pPr>
    </w:p>
    <w:p w14:paraId="78272909" w14:textId="77777777" w:rsidR="007A79D8" w:rsidRDefault="007A79D8" w:rsidP="007A79D8">
      <w:pPr>
        <w:pStyle w:val="NoSpacing"/>
      </w:pPr>
      <w:r>
        <w:t>Daniel</w:t>
      </w:r>
      <w:r>
        <w:rPr>
          <w:spacing w:val="-7"/>
        </w:rPr>
        <w:t xml:space="preserve"> </w:t>
      </w:r>
      <w:r>
        <w:rPr>
          <w:spacing w:val="-2"/>
        </w:rPr>
        <w:t>Breton</w:t>
      </w:r>
    </w:p>
    <w:p w14:paraId="3A2828F2" w14:textId="77777777" w:rsidR="007A79D8" w:rsidRDefault="007A79D8" w:rsidP="007A79D8">
      <w:pPr>
        <w:pStyle w:val="NoSpacing"/>
        <w:rPr>
          <w:rFonts w:hAnsi="Arial"/>
        </w:rPr>
      </w:pPr>
      <w:proofErr w:type="spellStart"/>
      <w:r>
        <w:rPr>
          <w:rFonts w:hAnsi="Arial"/>
        </w:rPr>
        <w:t>President</w:t>
      </w:r>
      <w:proofErr w:type="spellEnd"/>
      <w:r>
        <w:rPr>
          <w:rFonts w:hAnsi="Arial"/>
        </w:rPr>
        <w:t xml:space="preserve"> and CEO - Pr</w:t>
      </w:r>
      <w:r>
        <w:rPr>
          <w:rFonts w:hAnsi="Arial"/>
        </w:rPr>
        <w:t>é</w:t>
      </w:r>
      <w:r>
        <w:rPr>
          <w:rFonts w:hAnsi="Arial"/>
        </w:rPr>
        <w:t>sident et directeur g</w:t>
      </w:r>
      <w:r>
        <w:rPr>
          <w:rFonts w:hAnsi="Arial"/>
        </w:rPr>
        <w:t>é</w:t>
      </w:r>
      <w:r>
        <w:rPr>
          <w:rFonts w:hAnsi="Arial"/>
        </w:rPr>
        <w:t>n</w:t>
      </w:r>
      <w:r>
        <w:rPr>
          <w:rFonts w:hAnsi="Arial"/>
        </w:rPr>
        <w:t>é</w:t>
      </w:r>
      <w:r>
        <w:rPr>
          <w:rFonts w:hAnsi="Arial"/>
        </w:rPr>
        <w:t xml:space="preserve">ral </w:t>
      </w:r>
    </w:p>
    <w:p w14:paraId="6ACF4C45" w14:textId="77777777" w:rsidR="007A79D8" w:rsidRPr="00492E68" w:rsidRDefault="007A79D8" w:rsidP="007A79D8">
      <w:pPr>
        <w:pStyle w:val="NoSpacing"/>
        <w:rPr>
          <w:rFonts w:hAnsi="Arial"/>
          <w:lang w:val="en-CA"/>
        </w:rPr>
      </w:pPr>
      <w:r w:rsidRPr="00492E68">
        <w:rPr>
          <w:rFonts w:hAnsi="Arial"/>
          <w:lang w:val="en-CA"/>
        </w:rPr>
        <w:t>Electric</w:t>
      </w:r>
      <w:r w:rsidRPr="00492E68">
        <w:rPr>
          <w:rFonts w:hAnsi="Arial"/>
          <w:spacing w:val="-7"/>
          <w:lang w:val="en-CA"/>
        </w:rPr>
        <w:t xml:space="preserve"> </w:t>
      </w:r>
      <w:r w:rsidRPr="00492E68">
        <w:rPr>
          <w:rFonts w:hAnsi="Arial"/>
          <w:lang w:val="en-CA"/>
        </w:rPr>
        <w:t>Mobility</w:t>
      </w:r>
      <w:r w:rsidRPr="00492E68">
        <w:rPr>
          <w:rFonts w:hAnsi="Arial"/>
          <w:spacing w:val="-7"/>
          <w:lang w:val="en-CA"/>
        </w:rPr>
        <w:t xml:space="preserve"> </w:t>
      </w:r>
      <w:r w:rsidRPr="00492E68">
        <w:rPr>
          <w:rFonts w:hAnsi="Arial"/>
          <w:lang w:val="en-CA"/>
        </w:rPr>
        <w:t>Canada</w:t>
      </w:r>
      <w:r w:rsidRPr="00492E68">
        <w:rPr>
          <w:rFonts w:hAnsi="Arial"/>
          <w:spacing w:val="-7"/>
          <w:lang w:val="en-CA"/>
        </w:rPr>
        <w:t xml:space="preserve"> </w:t>
      </w:r>
      <w:r w:rsidRPr="00492E68">
        <w:rPr>
          <w:rFonts w:hAnsi="Arial"/>
          <w:lang w:val="en-CA"/>
        </w:rPr>
        <w:t>-</w:t>
      </w:r>
      <w:r w:rsidRPr="00492E68">
        <w:rPr>
          <w:rFonts w:hAnsi="Arial"/>
          <w:spacing w:val="-7"/>
          <w:lang w:val="en-CA"/>
        </w:rPr>
        <w:t xml:space="preserve"> </w:t>
      </w:r>
      <w:proofErr w:type="spellStart"/>
      <w:r w:rsidRPr="00492E68">
        <w:rPr>
          <w:rFonts w:hAnsi="Arial"/>
          <w:lang w:val="en-CA"/>
        </w:rPr>
        <w:t>Mobilit</w:t>
      </w:r>
      <w:r w:rsidRPr="00492E68">
        <w:rPr>
          <w:rFonts w:hAnsi="Arial"/>
          <w:lang w:val="en-CA"/>
        </w:rPr>
        <w:t>é</w:t>
      </w:r>
      <w:proofErr w:type="spellEnd"/>
      <w:r w:rsidRPr="00492E68">
        <w:rPr>
          <w:rFonts w:hAnsi="Arial"/>
          <w:spacing w:val="-7"/>
          <w:lang w:val="en-CA"/>
        </w:rPr>
        <w:t xml:space="preserve"> </w:t>
      </w:r>
      <w:proofErr w:type="spellStart"/>
      <w:r w:rsidRPr="00492E68">
        <w:rPr>
          <w:rFonts w:hAnsi="Arial"/>
          <w:lang w:val="en-CA"/>
        </w:rPr>
        <w:t>É</w:t>
      </w:r>
      <w:r w:rsidRPr="00492E68">
        <w:rPr>
          <w:rFonts w:hAnsi="Arial"/>
          <w:lang w:val="en-CA"/>
        </w:rPr>
        <w:t>lectrique</w:t>
      </w:r>
      <w:proofErr w:type="spellEnd"/>
      <w:r w:rsidRPr="00492E68">
        <w:rPr>
          <w:rFonts w:hAnsi="Arial"/>
          <w:spacing w:val="-7"/>
          <w:lang w:val="en-CA"/>
        </w:rPr>
        <w:t xml:space="preserve"> </w:t>
      </w:r>
      <w:r w:rsidRPr="00492E68">
        <w:rPr>
          <w:rFonts w:hAnsi="Arial"/>
          <w:lang w:val="en-CA"/>
        </w:rPr>
        <w:t>Canada</w:t>
      </w:r>
    </w:p>
    <w:p w14:paraId="115E2AC5" w14:textId="2DADDF57" w:rsidR="007A79D8" w:rsidRPr="00A83754" w:rsidRDefault="00000000" w:rsidP="007A79D8">
      <w:pPr>
        <w:pStyle w:val="NoSpacing"/>
        <w:rPr>
          <w:rFonts w:hAnsi="Arial"/>
          <w:lang w:val="en-CA"/>
        </w:rPr>
      </w:pPr>
      <w:hyperlink r:id="rId24">
        <w:r w:rsidR="007A79D8" w:rsidRPr="00492E68">
          <w:rPr>
            <w:rFonts w:hAnsi="Arial"/>
            <w:color w:val="0000FF"/>
            <w:spacing w:val="-2"/>
            <w:u w:val="single" w:color="0000FF"/>
            <w:lang w:val="en-CA"/>
          </w:rPr>
          <w:t>daniel.breton@emc-mec.ca</w:t>
        </w:r>
      </w:hyperlink>
    </w:p>
    <w:p w14:paraId="4E24E30C" w14:textId="0016EB74" w:rsidR="00DE41F2" w:rsidRPr="00A83754" w:rsidRDefault="007A79D8" w:rsidP="007A79D8">
      <w:pPr>
        <w:pStyle w:val="NoSpacing"/>
        <w:rPr>
          <w:lang w:val="en-CA"/>
        </w:rPr>
      </w:pPr>
      <w:r w:rsidRPr="00A83754">
        <w:rPr>
          <w:lang w:val="en-CA"/>
        </w:rPr>
        <w:t>514 883 9274</w:t>
      </w:r>
      <w:r w:rsidR="00DE41F2" w:rsidRPr="00A83754">
        <w:rPr>
          <w:lang w:val="en-CA"/>
        </w:rPr>
        <w:br w:type="page"/>
      </w:r>
    </w:p>
    <w:p w14:paraId="30977BE4" w14:textId="04650871" w:rsidR="000522C3" w:rsidRDefault="00DE41F2" w:rsidP="000522C3">
      <w:pPr>
        <w:pStyle w:val="Heading1"/>
        <w:numPr>
          <w:ilvl w:val="0"/>
          <w:numId w:val="0"/>
        </w:numPr>
      </w:pPr>
      <w:bookmarkStart w:id="68" w:name="_Toc129792117"/>
      <w:r w:rsidRPr="000522C3">
        <w:lastRenderedPageBreak/>
        <w:t xml:space="preserve">APPENDIX A </w:t>
      </w:r>
      <w:r w:rsidR="000522C3" w:rsidRPr="000522C3">
        <w:t xml:space="preserve">- Overview of ZEV Mandate regulations and Credit Clearance Mechanisms is select jurisdictions (Canada, </w:t>
      </w:r>
      <w:r w:rsidR="000522C3">
        <w:t xml:space="preserve">California, </w:t>
      </w:r>
      <w:r w:rsidR="000522C3" w:rsidRPr="000522C3">
        <w:t>Quebec, B.C.)</w:t>
      </w:r>
      <w:bookmarkEnd w:id="68"/>
      <w:r w:rsidR="007A2E63">
        <w:t xml:space="preserve"> </w:t>
      </w:r>
    </w:p>
    <w:p w14:paraId="613EFE14" w14:textId="77777777" w:rsidR="007A2E63" w:rsidRPr="00CA171A" w:rsidRDefault="007A2E63" w:rsidP="00CA171A">
      <w:pPr>
        <w:pStyle w:val="NoSpacing"/>
        <w:rPr>
          <w:lang w:val="en-CA"/>
        </w:rPr>
      </w:pPr>
    </w:p>
    <w:p w14:paraId="3E78A8A7" w14:textId="77777777" w:rsidR="000522C3" w:rsidRPr="006B10B9" w:rsidRDefault="000522C3" w:rsidP="000522C3">
      <w:pPr>
        <w:pStyle w:val="ListParagraph"/>
        <w:numPr>
          <w:ilvl w:val="0"/>
          <w:numId w:val="31"/>
        </w:numPr>
        <w:spacing w:after="240" w:line="240" w:lineRule="auto"/>
        <w:rPr>
          <w:sz w:val="24"/>
          <w:szCs w:val="24"/>
          <w:u w:val="single"/>
        </w:rPr>
      </w:pPr>
      <w:r w:rsidRPr="006B10B9">
        <w:rPr>
          <w:b/>
          <w:bCs/>
          <w:sz w:val="24"/>
          <w:szCs w:val="24"/>
          <w:u w:val="single"/>
        </w:rPr>
        <w:t>Canada</w:t>
      </w:r>
      <w:r w:rsidRPr="006B10B9">
        <w:rPr>
          <w:sz w:val="24"/>
          <w:szCs w:val="24"/>
          <w:u w:val="single"/>
        </w:rPr>
        <w:t xml:space="preserve"> </w:t>
      </w:r>
    </w:p>
    <w:p w14:paraId="35EAEBCE" w14:textId="77777777" w:rsidR="000522C3" w:rsidRDefault="00000000" w:rsidP="006B10B9">
      <w:pPr>
        <w:spacing w:after="240"/>
        <w:ind w:left="360"/>
        <w:rPr>
          <w:i/>
          <w:iCs/>
        </w:rPr>
      </w:pPr>
      <w:hyperlink r:id="rId25" w:anchor="h-1360228" w:history="1">
        <w:r w:rsidR="000522C3">
          <w:rPr>
            <w:rStyle w:val="Hyperlink"/>
            <w:i/>
            <w:iCs/>
          </w:rPr>
          <w:t>Clean Fuel Regulation</w:t>
        </w:r>
      </w:hyperlink>
    </w:p>
    <w:p w14:paraId="10650F36" w14:textId="77777777" w:rsidR="000522C3" w:rsidRDefault="000522C3" w:rsidP="006B10B9">
      <w:pPr>
        <w:spacing w:after="240"/>
        <w:ind w:left="360"/>
        <w:rPr>
          <w:b/>
          <w:bCs/>
        </w:rPr>
      </w:pPr>
      <w:r>
        <w:rPr>
          <w:b/>
          <w:bCs/>
        </w:rPr>
        <w:t>Compliance-Credit Clearance Mechanism</w:t>
      </w:r>
    </w:p>
    <w:p w14:paraId="10054823" w14:textId="77777777" w:rsidR="000522C3" w:rsidRDefault="000522C3" w:rsidP="006B10B9">
      <w:pPr>
        <w:spacing w:after="240"/>
        <w:ind w:left="360"/>
      </w:pPr>
      <w:r>
        <w:t>Pursuant to sections110(1) and (2), a participant may, in a report submitted under subsection 126(1) or 127(1), pledge to offer to transfer through the compliance-credit clearance mechanism any compliance credits and must not use a compliance credit that it has pledged to offer to transfer and must not transfer that compliance credit except through the compliance-credit clearance mechanism.</w:t>
      </w:r>
    </w:p>
    <w:p w14:paraId="35AD1F10" w14:textId="77777777" w:rsidR="000522C3" w:rsidRDefault="000522C3" w:rsidP="006B10B9">
      <w:pPr>
        <w:spacing w:after="240"/>
        <w:ind w:left="360"/>
        <w:rPr>
          <w:b/>
          <w:bCs/>
        </w:rPr>
      </w:pPr>
      <w:r>
        <w:rPr>
          <w:b/>
          <w:bCs/>
        </w:rPr>
        <w:t>No pledge to transfer credits</w:t>
      </w:r>
    </w:p>
    <w:p w14:paraId="4D8D7311" w14:textId="77777777" w:rsidR="000522C3" w:rsidRDefault="000522C3" w:rsidP="006B10B9">
      <w:pPr>
        <w:spacing w:after="240"/>
        <w:ind w:left="360"/>
      </w:pPr>
      <w:r>
        <w:t>Pursuant to section 111(2), if no participant pledges to offer to transfer a compliance credit through the compliance-credit clearance mechanism, the Minister must send a notice to each primary supplier who has not satisfied the total reduction requirement that informs them that there will be no compliance-credit clearance mechanism for that compliance period.</w:t>
      </w:r>
    </w:p>
    <w:p w14:paraId="46842D3D" w14:textId="77777777" w:rsidR="000522C3" w:rsidRDefault="000522C3" w:rsidP="006B10B9">
      <w:pPr>
        <w:spacing w:after="240"/>
        <w:ind w:left="360"/>
        <w:rPr>
          <w:b/>
          <w:bCs/>
        </w:rPr>
      </w:pPr>
      <w:r>
        <w:rPr>
          <w:b/>
          <w:bCs/>
        </w:rPr>
        <w:t>Maximum price</w:t>
      </w:r>
    </w:p>
    <w:p w14:paraId="57C863BC" w14:textId="77777777" w:rsidR="000522C3" w:rsidRDefault="000522C3" w:rsidP="006B10B9">
      <w:pPr>
        <w:spacing w:after="240"/>
        <w:ind w:left="360"/>
      </w:pPr>
      <w:r>
        <w:t>Pursuant to section 112(3) the maximum price for a compliance-credit through the compliance-credit clearance market mechanism is $300 × (CPI</w:t>
      </w:r>
      <w:r>
        <w:rPr>
          <w:vertAlign w:val="subscript"/>
        </w:rPr>
        <w:t>A</w:t>
      </w:r>
      <w:r>
        <w:t xml:space="preserve"> ÷ CPI</w:t>
      </w:r>
      <w:r>
        <w:rPr>
          <w:vertAlign w:val="subscript"/>
        </w:rPr>
        <w:t>B</w:t>
      </w:r>
      <w:r>
        <w:t>) – where CPI</w:t>
      </w:r>
      <w:r>
        <w:rPr>
          <w:vertAlign w:val="subscript"/>
        </w:rPr>
        <w:t>A</w:t>
      </w:r>
      <w:r>
        <w:t xml:space="preserve"> is the average Consumer Price Index for the calendar year to which the compliance period relates, as published by Statistics Canada under the Statistics Act; and CPI</w:t>
      </w:r>
      <w:r>
        <w:rPr>
          <w:vertAlign w:val="subscript"/>
        </w:rPr>
        <w:t>B</w:t>
      </w:r>
      <w:r>
        <w:t xml:space="preserve"> is the average Consumer Price Index for the 12 months of the year 2022, as published by Statistics Canada under the Statistics Act.</w:t>
      </w:r>
    </w:p>
    <w:p w14:paraId="3DA716B0" w14:textId="77777777" w:rsidR="000522C3" w:rsidRPr="006B10B9" w:rsidRDefault="000522C3" w:rsidP="000522C3">
      <w:pPr>
        <w:pStyle w:val="ListParagraph"/>
        <w:numPr>
          <w:ilvl w:val="0"/>
          <w:numId w:val="31"/>
        </w:numPr>
        <w:spacing w:after="240" w:line="240" w:lineRule="auto"/>
        <w:rPr>
          <w:b/>
          <w:bCs/>
          <w:sz w:val="24"/>
          <w:szCs w:val="24"/>
          <w:u w:val="single"/>
        </w:rPr>
      </w:pPr>
      <w:r w:rsidRPr="006B10B9">
        <w:rPr>
          <w:b/>
          <w:bCs/>
          <w:sz w:val="24"/>
          <w:szCs w:val="24"/>
          <w:u w:val="single"/>
        </w:rPr>
        <w:t>California</w:t>
      </w:r>
    </w:p>
    <w:p w14:paraId="4E1E2D49" w14:textId="77777777" w:rsidR="000522C3" w:rsidRDefault="00000000" w:rsidP="006B10B9">
      <w:pPr>
        <w:spacing w:after="240"/>
        <w:ind w:left="360"/>
        <w:rPr>
          <w:i/>
          <w:iCs/>
          <w:u w:val="single"/>
        </w:rPr>
      </w:pPr>
      <w:hyperlink r:id="rId26" w:history="1">
        <w:r w:rsidR="000522C3">
          <w:rPr>
            <w:rStyle w:val="Hyperlink"/>
            <w:i/>
            <w:iCs/>
          </w:rPr>
          <w:t>Advanced Clean Cars II Regulation</w:t>
        </w:r>
      </w:hyperlink>
    </w:p>
    <w:p w14:paraId="76BC3111" w14:textId="77777777" w:rsidR="000522C3" w:rsidRDefault="000522C3" w:rsidP="006B10B9">
      <w:pPr>
        <w:spacing w:after="240"/>
        <w:ind w:left="360"/>
        <w:rPr>
          <w:b/>
          <w:bCs/>
        </w:rPr>
      </w:pPr>
      <w:r>
        <w:rPr>
          <w:b/>
          <w:bCs/>
        </w:rPr>
        <w:t>Fulfilling a ZEV Requirement Shortfall</w:t>
      </w:r>
    </w:p>
    <w:p w14:paraId="2CB35A6E" w14:textId="77777777" w:rsidR="000522C3" w:rsidRDefault="000522C3" w:rsidP="006B10B9">
      <w:pPr>
        <w:spacing w:after="240"/>
        <w:ind w:left="360"/>
      </w:pPr>
      <w:r>
        <w:t xml:space="preserve">Pursuant to section 1962.4(g)(1), a manufacturer who has a shortfall in a given model year, calculated according to section 1962.4(f)(2), may use any combination of the following to fulfill its shortfall: </w:t>
      </w:r>
    </w:p>
    <w:p w14:paraId="77A0EE2C" w14:textId="77777777" w:rsidR="000522C3" w:rsidRDefault="000522C3" w:rsidP="006B10B9">
      <w:pPr>
        <w:pStyle w:val="ListParagraph"/>
        <w:numPr>
          <w:ilvl w:val="0"/>
          <w:numId w:val="32"/>
        </w:numPr>
        <w:spacing w:after="240" w:line="240" w:lineRule="auto"/>
        <w:ind w:left="1080"/>
        <w:rPr>
          <w:b/>
          <w:bCs/>
        </w:rPr>
      </w:pPr>
      <w:r>
        <w:t xml:space="preserve">excess ZEV, PHEV, or environmental justice vehicle </w:t>
      </w:r>
      <w:proofErr w:type="gramStart"/>
      <w:r>
        <w:t>values;</w:t>
      </w:r>
      <w:proofErr w:type="gramEnd"/>
    </w:p>
    <w:p w14:paraId="73DE015F" w14:textId="77777777" w:rsidR="000522C3" w:rsidRDefault="000522C3" w:rsidP="006B10B9">
      <w:pPr>
        <w:pStyle w:val="ListParagraph"/>
        <w:numPr>
          <w:ilvl w:val="0"/>
          <w:numId w:val="32"/>
        </w:numPr>
        <w:spacing w:after="240" w:line="240" w:lineRule="auto"/>
        <w:ind w:left="1080"/>
        <w:rPr>
          <w:b/>
          <w:bCs/>
        </w:rPr>
      </w:pPr>
      <w:r>
        <w:t xml:space="preserve">early compliance vehicle </w:t>
      </w:r>
      <w:proofErr w:type="gramStart"/>
      <w:r>
        <w:t>values;</w:t>
      </w:r>
      <w:proofErr w:type="gramEnd"/>
    </w:p>
    <w:p w14:paraId="26E78F3A" w14:textId="77777777" w:rsidR="000522C3" w:rsidRDefault="000522C3" w:rsidP="006B10B9">
      <w:pPr>
        <w:pStyle w:val="ListParagraph"/>
        <w:numPr>
          <w:ilvl w:val="0"/>
          <w:numId w:val="32"/>
        </w:numPr>
        <w:spacing w:after="240" w:line="240" w:lineRule="auto"/>
        <w:ind w:left="1080"/>
        <w:rPr>
          <w:b/>
          <w:bCs/>
        </w:rPr>
      </w:pPr>
      <w:r>
        <w:t xml:space="preserve"> converted ZEV and PHEV </w:t>
      </w:r>
      <w:proofErr w:type="gramStart"/>
      <w:r>
        <w:t>values;</w:t>
      </w:r>
      <w:proofErr w:type="gramEnd"/>
    </w:p>
    <w:p w14:paraId="1C6E6556" w14:textId="77777777" w:rsidR="000522C3" w:rsidRDefault="000522C3" w:rsidP="006B10B9">
      <w:pPr>
        <w:pStyle w:val="ListParagraph"/>
        <w:numPr>
          <w:ilvl w:val="0"/>
          <w:numId w:val="32"/>
        </w:numPr>
        <w:spacing w:after="240" w:line="240" w:lineRule="auto"/>
        <w:ind w:left="1080"/>
        <w:rPr>
          <w:b/>
          <w:bCs/>
        </w:rPr>
      </w:pPr>
      <w:r>
        <w:t>pooled ZEV and PHEV values; or</w:t>
      </w:r>
    </w:p>
    <w:p w14:paraId="52324FBC" w14:textId="77777777" w:rsidR="000522C3" w:rsidRDefault="000522C3" w:rsidP="006B10B9">
      <w:pPr>
        <w:pStyle w:val="ListParagraph"/>
        <w:numPr>
          <w:ilvl w:val="0"/>
          <w:numId w:val="32"/>
        </w:numPr>
        <w:spacing w:after="240" w:line="240" w:lineRule="auto"/>
        <w:ind w:left="1080"/>
        <w:rPr>
          <w:b/>
          <w:bCs/>
        </w:rPr>
      </w:pPr>
      <w:r>
        <w:t xml:space="preserve"> proportional FCEV values, to fulfill its shortfall.</w:t>
      </w:r>
      <w:r>
        <w:rPr>
          <w:b/>
          <w:bCs/>
        </w:rPr>
        <w:t xml:space="preserve"> </w:t>
      </w:r>
    </w:p>
    <w:p w14:paraId="6F29C1AD" w14:textId="77777777" w:rsidR="000522C3" w:rsidRDefault="000522C3" w:rsidP="006B10B9">
      <w:pPr>
        <w:spacing w:after="240"/>
        <w:ind w:left="360"/>
        <w:rPr>
          <w:b/>
          <w:bCs/>
        </w:rPr>
      </w:pPr>
      <w:r>
        <w:rPr>
          <w:b/>
          <w:bCs/>
        </w:rPr>
        <w:t>Demonstrating Compliance</w:t>
      </w:r>
    </w:p>
    <w:p w14:paraId="2FF7F6A5" w14:textId="77777777" w:rsidR="000522C3" w:rsidRDefault="000522C3" w:rsidP="006B10B9">
      <w:pPr>
        <w:spacing w:after="240"/>
        <w:ind w:left="360"/>
      </w:pPr>
      <w:r>
        <w:lastRenderedPageBreak/>
        <w:t>Pursuant to section 1962.4(h)(1), each manufacturer must report in accordance with section 1962.4(j), its ZEV requirement performance for the model year under subsection (f) and the resulting surplus or shortfall in values for the model year after applying any values according to subsection (g).</w:t>
      </w:r>
    </w:p>
    <w:p w14:paraId="56BDE7E4" w14:textId="77777777" w:rsidR="000522C3" w:rsidRDefault="000522C3" w:rsidP="006B10B9">
      <w:pPr>
        <w:spacing w:after="240"/>
        <w:ind w:left="360"/>
        <w:rPr>
          <w:b/>
          <w:bCs/>
        </w:rPr>
      </w:pPr>
      <w:r>
        <w:rPr>
          <w:b/>
          <w:bCs/>
        </w:rPr>
        <w:t>Incur and Carry Forward a ZEV Deficit</w:t>
      </w:r>
    </w:p>
    <w:p w14:paraId="4E75E866" w14:textId="77777777" w:rsidR="000522C3" w:rsidRDefault="000522C3" w:rsidP="006B10B9">
      <w:pPr>
        <w:spacing w:after="240"/>
        <w:ind w:left="360"/>
      </w:pPr>
      <w:r>
        <w:t>Pursuant to section 1962.4(h)(2), if a shortfall in meeting the Annual ZEV Requirement remains after determining compliance under section 1962.4(h)(1), the manufacturer shall incur a deficit for the model year. A manufacturer must make up the deficit within three model years following the model year in which the deficit was earned by submitting a commensurate amount, within applicable allowances for fulfilling a ZEV requirement shortfall, under section 1962.4(g)(1) for the model year in which the deficit was earned, of excess ZEV, PHEV, or environmental justice vehicle values, early compliance vehicle values, or pooled ZEV or PHEV values to the Executive Officer.</w:t>
      </w:r>
    </w:p>
    <w:p w14:paraId="1C617157" w14:textId="77777777" w:rsidR="000522C3" w:rsidRDefault="00000000" w:rsidP="006B10B9">
      <w:pPr>
        <w:spacing w:after="240"/>
        <w:ind w:left="360"/>
        <w:rPr>
          <w:i/>
          <w:iCs/>
          <w:u w:val="single"/>
        </w:rPr>
      </w:pPr>
      <w:hyperlink r:id="rId27" w:history="1">
        <w:r w:rsidR="000522C3">
          <w:rPr>
            <w:rStyle w:val="Hyperlink"/>
            <w:i/>
            <w:iCs/>
          </w:rPr>
          <w:t>Low Carbon Fuel Standard</w:t>
        </w:r>
      </w:hyperlink>
    </w:p>
    <w:p w14:paraId="6145D9BD" w14:textId="77777777" w:rsidR="000522C3" w:rsidRDefault="000522C3" w:rsidP="006B10B9">
      <w:pPr>
        <w:spacing w:after="240"/>
        <w:ind w:left="360"/>
        <w:rPr>
          <w:b/>
          <w:bCs/>
        </w:rPr>
      </w:pPr>
      <w:r>
        <w:rPr>
          <w:b/>
          <w:bCs/>
        </w:rPr>
        <w:t xml:space="preserve">Credit Clearance Market </w:t>
      </w:r>
    </w:p>
    <w:p w14:paraId="4FBF1E45" w14:textId="77777777" w:rsidR="000522C3" w:rsidRDefault="000522C3" w:rsidP="006B10B9">
      <w:pPr>
        <w:spacing w:after="240"/>
        <w:ind w:left="360"/>
      </w:pPr>
      <w:r>
        <w:t>Section 95485(c)(1) provides that if a fuel reporting entity does not retire sufficient credits to meet its year-end compliance obligation under section 95485(a) by submitting an annual compliance report, showing that it possessed and has retired a number of credits from its credit account that is equal to its compliance obligation, that party must purchase its pro-rata share of credits in the Credit Clearance Market, if one occurs.</w:t>
      </w:r>
    </w:p>
    <w:p w14:paraId="71F92B82" w14:textId="77777777" w:rsidR="000522C3" w:rsidRDefault="000522C3" w:rsidP="006B10B9">
      <w:pPr>
        <w:spacing w:after="240"/>
        <w:ind w:left="360"/>
      </w:pPr>
      <w:r>
        <w:t>Section 95485(c)(1)(A) provides that If the Credit Clearance Market occurs, a fuel reporting entity that fails to comply with section 95485(a) is nevertheless in compliance if the party:</w:t>
      </w:r>
    </w:p>
    <w:p w14:paraId="7F071063" w14:textId="77777777" w:rsidR="000522C3" w:rsidRDefault="000522C3" w:rsidP="006B10B9">
      <w:pPr>
        <w:pStyle w:val="ListParagraph"/>
        <w:numPr>
          <w:ilvl w:val="0"/>
          <w:numId w:val="33"/>
        </w:numPr>
        <w:spacing w:after="240" w:line="240" w:lineRule="auto"/>
        <w:ind w:left="1080"/>
      </w:pPr>
      <w:r>
        <w:t xml:space="preserve">Retires all credits in its LRT-CBTS </w:t>
      </w:r>
      <w:proofErr w:type="gramStart"/>
      <w:r>
        <w:t>account;</w:t>
      </w:r>
      <w:proofErr w:type="gramEnd"/>
    </w:p>
    <w:p w14:paraId="4D0C9109" w14:textId="77777777" w:rsidR="000522C3" w:rsidRDefault="000522C3" w:rsidP="006B10B9">
      <w:pPr>
        <w:pStyle w:val="ListParagraph"/>
        <w:numPr>
          <w:ilvl w:val="0"/>
          <w:numId w:val="33"/>
        </w:numPr>
        <w:spacing w:after="240" w:line="240" w:lineRule="auto"/>
        <w:ind w:left="1080"/>
      </w:pPr>
      <w:r>
        <w:t xml:space="preserve">Acquires its Pro-Rata Obligation in the Credit Clearance Market and retires that number of credits by August 31st of the year </w:t>
      </w:r>
      <w:proofErr w:type="gramStart"/>
      <w:r>
        <w:t>subsequent to</w:t>
      </w:r>
      <w:proofErr w:type="gramEnd"/>
      <w:r>
        <w:t xml:space="preserve"> the compliance year in question; and</w:t>
      </w:r>
    </w:p>
    <w:p w14:paraId="7624F5D6" w14:textId="77777777" w:rsidR="000522C3" w:rsidRDefault="000522C3" w:rsidP="006B10B9">
      <w:pPr>
        <w:pStyle w:val="ListParagraph"/>
        <w:numPr>
          <w:ilvl w:val="0"/>
          <w:numId w:val="33"/>
        </w:numPr>
        <w:spacing w:after="240" w:line="240" w:lineRule="auto"/>
        <w:ind w:left="1080"/>
      </w:pPr>
      <w:r>
        <w:t>Retires the remaining balance of its annual obligation, with interest, within five years.</w:t>
      </w:r>
    </w:p>
    <w:p w14:paraId="02F7FE58" w14:textId="77777777" w:rsidR="000522C3" w:rsidRDefault="000522C3" w:rsidP="006B10B9">
      <w:pPr>
        <w:spacing w:after="240"/>
        <w:ind w:left="360"/>
      </w:pPr>
      <w:r>
        <w:t xml:space="preserve">Section 95485(c)(2) sets out the </w:t>
      </w:r>
      <w:proofErr w:type="gramStart"/>
      <w:r>
        <w:t>manner in which</w:t>
      </w:r>
      <w:proofErr w:type="gramEnd"/>
      <w:r>
        <w:t xml:space="preserve"> “Clearance Market” Credits can by acquired to meet a reporting entity’s annual compliance obligation.</w:t>
      </w:r>
    </w:p>
    <w:p w14:paraId="7EE52326" w14:textId="77777777" w:rsidR="000522C3" w:rsidRDefault="000522C3" w:rsidP="006B10B9">
      <w:pPr>
        <w:spacing w:after="240"/>
        <w:ind w:left="360"/>
        <w:rPr>
          <w:b/>
          <w:bCs/>
        </w:rPr>
      </w:pPr>
      <w:r>
        <w:rPr>
          <w:b/>
          <w:bCs/>
        </w:rPr>
        <w:t xml:space="preserve">Procedure for Selling in the Clearance Market if insufficient credits are </w:t>
      </w:r>
      <w:proofErr w:type="gramStart"/>
      <w:r>
        <w:rPr>
          <w:b/>
          <w:bCs/>
        </w:rPr>
        <w:t>pledged</w:t>
      </w:r>
      <w:proofErr w:type="gramEnd"/>
    </w:p>
    <w:p w14:paraId="378256F4" w14:textId="77777777" w:rsidR="000522C3" w:rsidRDefault="000522C3" w:rsidP="006B10B9">
      <w:pPr>
        <w:spacing w:after="240"/>
        <w:ind w:left="360"/>
      </w:pPr>
      <w:r>
        <w:t>If, for any compliance year, insufficient credits are pledged for sale into the Credit Clearance Market to fully clear outstanding deficits, the Executive Officer shall issue credits equal to the difference between the number of outstanding deficits and the number of credits pledged for sale in the Credit Clearance Market subject to the following:</w:t>
      </w:r>
    </w:p>
    <w:p w14:paraId="1E4E99A5" w14:textId="77777777" w:rsidR="000522C3" w:rsidRDefault="000522C3" w:rsidP="006B10B9">
      <w:pPr>
        <w:pStyle w:val="ListParagraph"/>
        <w:numPr>
          <w:ilvl w:val="0"/>
          <w:numId w:val="34"/>
        </w:numPr>
        <w:spacing w:after="240" w:line="240" w:lineRule="auto"/>
        <w:ind w:left="1080"/>
      </w:pPr>
      <w:r>
        <w:t xml:space="preserve">Advanced credits will be issued to eligible Large IOUs and Large POUs that opt into the LCFS and are eligible to receive base credits per section 95483(c)(1)(A). Advanced credits will be allocated to eligible utilities based on their pro- rata share of base credits received in the most recent issuance. Advanced credits must be pledged for sale in the current Credit Clearance Market and may only be </w:t>
      </w:r>
      <w:r>
        <w:lastRenderedPageBreak/>
        <w:t>sold at the maximum LCFS price per section 95487(a)(2)(D). A minimum portion of proceeds generated from the sale of advanced credits must be allocated using the 2023 and onward contribution percentages found in section 95483(c)(1)(A) paragraph 1. to the Clean Fuel Reward program.</w:t>
      </w:r>
    </w:p>
    <w:p w14:paraId="486921F6" w14:textId="77777777" w:rsidR="000522C3" w:rsidRDefault="000522C3" w:rsidP="006B10B9">
      <w:pPr>
        <w:pStyle w:val="ListParagraph"/>
        <w:numPr>
          <w:ilvl w:val="0"/>
          <w:numId w:val="34"/>
        </w:numPr>
        <w:spacing w:after="240" w:line="240" w:lineRule="auto"/>
        <w:ind w:left="1080"/>
      </w:pPr>
      <w:r>
        <w:t>The first such issuance of advanced credits will mark the start of the six-year “advanced credit window,” during which advanced credits can be issued and after which base credit issuances will be adjusted to account for advanced credits.</w:t>
      </w:r>
    </w:p>
    <w:p w14:paraId="0448BE1A" w14:textId="77777777" w:rsidR="000522C3" w:rsidRDefault="000522C3" w:rsidP="006B10B9">
      <w:pPr>
        <w:spacing w:after="240"/>
        <w:ind w:left="360"/>
        <w:rPr>
          <w:b/>
          <w:bCs/>
        </w:rPr>
      </w:pPr>
      <w:r>
        <w:rPr>
          <w:b/>
          <w:bCs/>
        </w:rPr>
        <w:t>Use of Clearance Market Credits</w:t>
      </w:r>
    </w:p>
    <w:p w14:paraId="75B195DA" w14:textId="77777777" w:rsidR="000522C3" w:rsidRDefault="000522C3" w:rsidP="006B10B9">
      <w:pPr>
        <w:spacing w:after="240"/>
        <w:ind w:left="360"/>
      </w:pPr>
      <w:r>
        <w:t>Section 95485(c)(2)(B) stipulated that a Clearance Market credit can only be used for the purpose of meeting the fuel reporting entity’s compliance obligation from an immediate prior year.</w:t>
      </w:r>
    </w:p>
    <w:p w14:paraId="38CEC50E" w14:textId="77777777" w:rsidR="000522C3" w:rsidRDefault="000522C3" w:rsidP="006B10B9">
      <w:pPr>
        <w:spacing w:after="240"/>
        <w:ind w:left="360"/>
        <w:rPr>
          <w:b/>
          <w:bCs/>
        </w:rPr>
      </w:pPr>
      <w:r>
        <w:rPr>
          <w:b/>
          <w:bCs/>
        </w:rPr>
        <w:t>Maximum Price</w:t>
      </w:r>
    </w:p>
    <w:p w14:paraId="6F6A8379" w14:textId="77777777" w:rsidR="000522C3" w:rsidRDefault="000522C3" w:rsidP="006B10B9">
      <w:pPr>
        <w:spacing w:after="240"/>
        <w:ind w:left="360"/>
      </w:pPr>
      <w:r>
        <w:t xml:space="preserve">The maximum price for credits acquired, </w:t>
      </w:r>
      <w:proofErr w:type="gramStart"/>
      <w:r>
        <w:t>purchased</w:t>
      </w:r>
      <w:proofErr w:type="gramEnd"/>
      <w:r>
        <w:t xml:space="preserve"> or transferred via the Credit Clearance Market shall be set pursuant to section 95487(a)(2)(D) = $200/credit (MTCO2e) in 2016 adjusted annually by rate of inflation.</w:t>
      </w:r>
    </w:p>
    <w:p w14:paraId="6442AD8B" w14:textId="77777777" w:rsidR="000522C3" w:rsidRDefault="000522C3" w:rsidP="006B10B9">
      <w:pPr>
        <w:spacing w:after="240"/>
        <w:ind w:left="360"/>
        <w:rPr>
          <w:b/>
          <w:bCs/>
        </w:rPr>
      </w:pPr>
      <w:r>
        <w:rPr>
          <w:b/>
          <w:bCs/>
        </w:rPr>
        <w:t>Compliance Plan</w:t>
      </w:r>
    </w:p>
    <w:p w14:paraId="6D089F9C" w14:textId="77777777" w:rsidR="000522C3" w:rsidRDefault="000522C3" w:rsidP="006B10B9">
      <w:pPr>
        <w:spacing w:after="240"/>
        <w:ind w:left="360"/>
      </w:pPr>
      <w:r>
        <w:t xml:space="preserve">Pursuant to section 95485(c)(2)(C), a regulated entity that participated in the Credit Clearance Market for two consecutive years must submit a Compliance Plan to CARB in the second compliance year, detailing its plan to obtain sufficient credits to meet future annual compliance obligations within a five-year period. </w:t>
      </w:r>
    </w:p>
    <w:p w14:paraId="7EE01602" w14:textId="77777777" w:rsidR="000522C3" w:rsidRPr="006B10B9" w:rsidRDefault="000522C3" w:rsidP="000522C3">
      <w:pPr>
        <w:pStyle w:val="ListParagraph"/>
        <w:numPr>
          <w:ilvl w:val="0"/>
          <w:numId w:val="31"/>
        </w:numPr>
        <w:spacing w:after="240" w:line="240" w:lineRule="auto"/>
        <w:rPr>
          <w:sz w:val="24"/>
          <w:szCs w:val="24"/>
        </w:rPr>
      </w:pPr>
      <w:r w:rsidRPr="006B10B9">
        <w:rPr>
          <w:b/>
          <w:bCs/>
          <w:sz w:val="24"/>
          <w:szCs w:val="24"/>
          <w:u w:val="single"/>
        </w:rPr>
        <w:t>Quebec</w:t>
      </w:r>
    </w:p>
    <w:p w14:paraId="75B9521E" w14:textId="77777777" w:rsidR="000522C3" w:rsidRDefault="00000000" w:rsidP="006B10B9">
      <w:pPr>
        <w:spacing w:after="240"/>
        <w:ind w:left="360"/>
        <w:rPr>
          <w:u w:val="single"/>
        </w:rPr>
      </w:pPr>
      <w:hyperlink r:id="rId28" w:history="1">
        <w:r w:rsidR="000522C3">
          <w:rPr>
            <w:rStyle w:val="Hyperlink"/>
          </w:rPr>
          <w:t xml:space="preserve">Increase the Number </w:t>
        </w:r>
        <w:proofErr w:type="gramStart"/>
        <w:r w:rsidR="000522C3">
          <w:rPr>
            <w:rStyle w:val="Hyperlink"/>
          </w:rPr>
          <w:t>Of</w:t>
        </w:r>
        <w:proofErr w:type="gramEnd"/>
        <w:r w:rsidR="000522C3">
          <w:rPr>
            <w:rStyle w:val="Hyperlink"/>
          </w:rPr>
          <w:t xml:space="preserve"> Zero-Emission Motor Vehicles in </w:t>
        </w:r>
        <w:proofErr w:type="spellStart"/>
        <w:r w:rsidR="000522C3">
          <w:rPr>
            <w:rStyle w:val="Hyperlink"/>
          </w:rPr>
          <w:t>Québec</w:t>
        </w:r>
        <w:proofErr w:type="spellEnd"/>
        <w:r w:rsidR="000522C3">
          <w:rPr>
            <w:rStyle w:val="Hyperlink"/>
          </w:rPr>
          <w:t xml:space="preserve"> in order to Reduce Greenhouse Gas and Other Pollutant Emissions Act</w:t>
        </w:r>
      </w:hyperlink>
    </w:p>
    <w:p w14:paraId="619051CA" w14:textId="77777777" w:rsidR="000522C3" w:rsidRDefault="000522C3" w:rsidP="006B10B9">
      <w:pPr>
        <w:spacing w:after="240"/>
        <w:ind w:left="360"/>
      </w:pPr>
      <w:r>
        <w:t>Pursuant to section 8 of the act, a motor vehicle manufacturer that has not accumulated the number of credits required to fulfill its obligations under this Act or the regulations must, within three months after the Minister sends a notice of claim, pay to the Minister a charge whose parameters, calculation method, conditions and terms of payment are determined by government regulation.</w:t>
      </w:r>
    </w:p>
    <w:p w14:paraId="789EAD30" w14:textId="77777777" w:rsidR="000522C3" w:rsidRDefault="00000000" w:rsidP="006B10B9">
      <w:pPr>
        <w:spacing w:after="240"/>
        <w:ind w:left="360"/>
        <w:rPr>
          <w:u w:val="single"/>
        </w:rPr>
      </w:pPr>
      <w:hyperlink r:id="rId29" w:history="1">
        <w:r w:rsidR="000522C3">
          <w:rPr>
            <w:rStyle w:val="Hyperlink"/>
          </w:rPr>
          <w:t xml:space="preserve">Regulation respecting the application of the Act to increase the number of zero-emission motor vehicles in Québec </w:t>
        </w:r>
        <w:proofErr w:type="gramStart"/>
        <w:r w:rsidR="000522C3">
          <w:rPr>
            <w:rStyle w:val="Hyperlink"/>
          </w:rPr>
          <w:t>in order to</w:t>
        </w:r>
        <w:proofErr w:type="gramEnd"/>
        <w:r w:rsidR="000522C3">
          <w:rPr>
            <w:rStyle w:val="Hyperlink"/>
          </w:rPr>
          <w:t xml:space="preserve"> reduce greenhouse gas and other pollutant emissions</w:t>
        </w:r>
      </w:hyperlink>
    </w:p>
    <w:p w14:paraId="7A66FF79" w14:textId="77777777" w:rsidR="000522C3" w:rsidRDefault="000522C3" w:rsidP="000522C3">
      <w:pPr>
        <w:spacing w:after="240"/>
        <w:ind w:left="360"/>
      </w:pPr>
      <w:r>
        <w:t>Pursuant to section 31 of the regulation, a motor vehicle manufacturer must pay a charge based on the total number of credits that the manufacturer should have accumulated and the total number of those the manufacturer has accumulated for each group of 3 model years covered by a period. The charge is equal to $5000 for each credit required for the manufacturer to meet the total number for credits it had to accumulate for the 3 model years covered by that period.</w:t>
      </w:r>
    </w:p>
    <w:p w14:paraId="04CFF8A8" w14:textId="77777777" w:rsidR="000522C3" w:rsidRDefault="000522C3" w:rsidP="006B10B9">
      <w:pPr>
        <w:spacing w:after="240"/>
        <w:ind w:left="360"/>
      </w:pPr>
    </w:p>
    <w:p w14:paraId="5C63BAAB" w14:textId="77777777" w:rsidR="000522C3" w:rsidRPr="006B10B9" w:rsidRDefault="000522C3" w:rsidP="000522C3">
      <w:pPr>
        <w:pStyle w:val="ListParagraph"/>
        <w:numPr>
          <w:ilvl w:val="0"/>
          <w:numId w:val="31"/>
        </w:numPr>
        <w:spacing w:after="240" w:line="240" w:lineRule="auto"/>
        <w:rPr>
          <w:b/>
          <w:bCs/>
          <w:sz w:val="24"/>
          <w:szCs w:val="24"/>
          <w:u w:val="single"/>
        </w:rPr>
      </w:pPr>
      <w:r w:rsidRPr="006B10B9">
        <w:rPr>
          <w:b/>
          <w:bCs/>
          <w:sz w:val="24"/>
          <w:szCs w:val="24"/>
          <w:u w:val="single"/>
        </w:rPr>
        <w:lastRenderedPageBreak/>
        <w:t>British Columbia</w:t>
      </w:r>
    </w:p>
    <w:p w14:paraId="78FD19BE" w14:textId="77777777" w:rsidR="000522C3" w:rsidRDefault="00000000" w:rsidP="006B10B9">
      <w:pPr>
        <w:spacing w:after="240"/>
        <w:ind w:left="360"/>
        <w:rPr>
          <w:u w:val="single"/>
        </w:rPr>
      </w:pPr>
      <w:hyperlink r:id="rId30" w:anchor="section12" w:history="1">
        <w:r w:rsidR="000522C3">
          <w:rPr>
            <w:rStyle w:val="Hyperlink"/>
          </w:rPr>
          <w:t>Zero-Emission Vehicles Act</w:t>
        </w:r>
      </w:hyperlink>
    </w:p>
    <w:p w14:paraId="20D1963F" w14:textId="77777777" w:rsidR="000522C3" w:rsidRDefault="000522C3" w:rsidP="006B10B9">
      <w:pPr>
        <w:spacing w:after="240"/>
        <w:ind w:left="360"/>
        <w:rPr>
          <w:b/>
          <w:bCs/>
        </w:rPr>
      </w:pPr>
      <w:r>
        <w:rPr>
          <w:b/>
          <w:bCs/>
        </w:rPr>
        <w:t>Compliance</w:t>
      </w:r>
    </w:p>
    <w:p w14:paraId="237DAB0E" w14:textId="77777777" w:rsidR="000522C3" w:rsidRDefault="000522C3" w:rsidP="006B10B9">
      <w:pPr>
        <w:spacing w:after="240"/>
        <w:ind w:left="360"/>
      </w:pPr>
      <w:r>
        <w:t>Pursuant to section 10(2), at the end of the compliance date for a model year, a supplier must have a balance that contains the following numbers of ZEV units:</w:t>
      </w:r>
    </w:p>
    <w:p w14:paraId="27180C75" w14:textId="77777777" w:rsidR="000522C3" w:rsidRDefault="000522C3" w:rsidP="006B10B9">
      <w:pPr>
        <w:pStyle w:val="ListParagraph"/>
        <w:numPr>
          <w:ilvl w:val="0"/>
          <w:numId w:val="35"/>
        </w:numPr>
        <w:spacing w:after="240" w:line="240" w:lineRule="auto"/>
        <w:ind w:left="1080"/>
      </w:pPr>
      <w:r>
        <w:t>for each vehicle class, zero or more ZEV units;</w:t>
      </w:r>
    </w:p>
    <w:p w14:paraId="60A2AC35" w14:textId="77777777" w:rsidR="000522C3" w:rsidRDefault="000522C3" w:rsidP="006B10B9">
      <w:pPr>
        <w:pStyle w:val="ListParagraph"/>
        <w:numPr>
          <w:ilvl w:val="0"/>
          <w:numId w:val="35"/>
        </w:numPr>
        <w:spacing w:after="240" w:line="240" w:lineRule="auto"/>
        <w:ind w:left="1080"/>
      </w:pPr>
      <w:r>
        <w:t>for each prescribed vehicle class, if applicable, zero or more ZEV units of each prescribed ZEV class.</w:t>
      </w:r>
    </w:p>
    <w:p w14:paraId="5BB566F0" w14:textId="77777777" w:rsidR="000522C3" w:rsidRDefault="000522C3" w:rsidP="006B10B9">
      <w:pPr>
        <w:spacing w:after="240"/>
        <w:ind w:left="360"/>
        <w:rPr>
          <w:b/>
          <w:bCs/>
        </w:rPr>
      </w:pPr>
      <w:r>
        <w:rPr>
          <w:b/>
          <w:bCs/>
        </w:rPr>
        <w:t>Non-compliance with section 10(2)</w:t>
      </w:r>
    </w:p>
    <w:p w14:paraId="593ADE6D" w14:textId="77777777" w:rsidR="000522C3" w:rsidRDefault="000522C3" w:rsidP="006B10B9">
      <w:pPr>
        <w:spacing w:after="240"/>
        <w:ind w:left="360"/>
      </w:pPr>
      <w:r>
        <w:t>Pursuant to section 10(3) and subject to subsection (4), if a supplier has a balance at the end of the compliance date for a model year that contains less than zero ZEV units of a vehicle class and ZEV class,</w:t>
      </w:r>
    </w:p>
    <w:p w14:paraId="4273E240" w14:textId="77777777" w:rsidR="000522C3" w:rsidRDefault="000522C3" w:rsidP="006B10B9">
      <w:pPr>
        <w:pStyle w:val="ListParagraph"/>
        <w:numPr>
          <w:ilvl w:val="0"/>
          <w:numId w:val="36"/>
        </w:numPr>
        <w:spacing w:after="240" w:line="240" w:lineRule="auto"/>
        <w:ind w:left="1080"/>
      </w:pPr>
      <w:r>
        <w:t>the supplier is subject to an administrative penalty in an amount determined under section 26 [automatic administrative penalties], and</w:t>
      </w:r>
    </w:p>
    <w:p w14:paraId="72BB853E" w14:textId="77777777" w:rsidR="000522C3" w:rsidRDefault="000522C3" w:rsidP="006B10B9">
      <w:pPr>
        <w:pStyle w:val="ListParagraph"/>
        <w:numPr>
          <w:ilvl w:val="0"/>
          <w:numId w:val="36"/>
        </w:numPr>
        <w:spacing w:after="240" w:line="240" w:lineRule="auto"/>
        <w:ind w:left="1080"/>
      </w:pPr>
      <w:r>
        <w:t>on payment of the administrative penalty, the balance of ZEV units of the vehicle class and ZEV class is increased by a number of credits of the model year, vehicle class and ZEV class, which may be the unspecified ZEV class, that is equal to the amount below zero.</w:t>
      </w:r>
    </w:p>
    <w:p w14:paraId="1EF38D1E" w14:textId="77777777" w:rsidR="000522C3" w:rsidRDefault="000522C3" w:rsidP="006B10B9">
      <w:pPr>
        <w:spacing w:after="240"/>
        <w:ind w:left="360"/>
        <w:rPr>
          <w:b/>
          <w:bCs/>
        </w:rPr>
      </w:pPr>
      <w:r>
        <w:rPr>
          <w:b/>
          <w:bCs/>
        </w:rPr>
        <w:t>Issuance of Credits</w:t>
      </w:r>
    </w:p>
    <w:p w14:paraId="00797977" w14:textId="77777777" w:rsidR="000522C3" w:rsidRDefault="000522C3" w:rsidP="006B10B9">
      <w:pPr>
        <w:spacing w:after="240"/>
        <w:ind w:left="360"/>
      </w:pPr>
      <w:r>
        <w:t>The director may issue credits to a supplier in relation to (i) consumer sales of ZEV vehicles; (ii) in accordance with an agreement  in relation to an action that the supplier proposes to take to reduce GHG emissions in BC from motor vehicles or increase the use, sale, or lease of ZEVs in BC; or (iii) in accordance with an agreement  with a supplier that provides for the issuance of credits to the supplier on payment of the prescribed price per credit</w:t>
      </w:r>
    </w:p>
    <w:p w14:paraId="78BC59EE" w14:textId="77777777" w:rsidR="00DE41F2" w:rsidRPr="006B10B9" w:rsidRDefault="00DE41F2" w:rsidP="00DE41F2">
      <w:pPr>
        <w:pStyle w:val="NoSpacing"/>
        <w:rPr>
          <w:lang w:val="en-US"/>
        </w:rPr>
      </w:pPr>
    </w:p>
    <w:sectPr w:rsidR="00DE41F2" w:rsidRPr="006B10B9" w:rsidSect="00892637">
      <w:headerReference w:type="default" r:id="rId31"/>
      <w:headerReference w:type="first" r:id="rId32"/>
      <w:footerReference w:type="first" r:id="rId33"/>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C36C" w14:textId="77777777" w:rsidR="00C02870" w:rsidRDefault="00C02870" w:rsidP="004B75D0">
      <w:pPr>
        <w:spacing w:after="0" w:line="240" w:lineRule="auto"/>
      </w:pPr>
      <w:r>
        <w:separator/>
      </w:r>
    </w:p>
  </w:endnote>
  <w:endnote w:type="continuationSeparator" w:id="0">
    <w:p w14:paraId="0D420EE7" w14:textId="77777777" w:rsidR="00C02870" w:rsidRDefault="00C02870" w:rsidP="004B75D0">
      <w:pPr>
        <w:spacing w:after="0" w:line="240" w:lineRule="auto"/>
      </w:pPr>
      <w:r>
        <w:continuationSeparator/>
      </w:r>
    </w:p>
  </w:endnote>
  <w:endnote w:type="continuationNotice" w:id="1">
    <w:p w14:paraId="1F772B86" w14:textId="77777777" w:rsidR="00C02870" w:rsidRDefault="00C02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D7AC" w14:textId="77777777" w:rsidR="008D1CE2" w:rsidRPr="004D3351" w:rsidRDefault="50657CFB" w:rsidP="008D1CE2">
    <w:pPr>
      <w:pStyle w:val="NoSpacing"/>
      <w:rPr>
        <w:sz w:val="20"/>
        <w:szCs w:val="20"/>
        <w:lang w:val="en-CA"/>
      </w:rPr>
    </w:pPr>
    <w:r w:rsidRPr="004D3351">
      <w:rPr>
        <w:sz w:val="20"/>
        <w:szCs w:val="20"/>
        <w:lang w:val="en-CA"/>
      </w:rPr>
      <w:t xml:space="preserve">EMC Comments and Recommendations </w:t>
    </w:r>
  </w:p>
  <w:p w14:paraId="3684B1E2" w14:textId="7C4007FD" w:rsidR="008D1CE2" w:rsidRPr="004D3351" w:rsidRDefault="50657CFB" w:rsidP="00DD3FF8">
    <w:pPr>
      <w:pStyle w:val="NoSpacing"/>
      <w:tabs>
        <w:tab w:val="right" w:pos="10065"/>
      </w:tabs>
      <w:rPr>
        <w:sz w:val="20"/>
        <w:szCs w:val="20"/>
        <w:lang w:val="en-CA"/>
      </w:rPr>
    </w:pPr>
    <w:r w:rsidRPr="004D3351">
      <w:rPr>
        <w:sz w:val="20"/>
        <w:szCs w:val="20"/>
        <w:lang w:val="en-CA"/>
      </w:rPr>
      <w:t xml:space="preserve">Regulations Amending the Passenger Automobile and Light Truck Greenhouse Gas Emission Regulations </w:t>
    </w:r>
    <w:r w:rsidR="008D1CE2" w:rsidRPr="004D3351">
      <w:rPr>
        <w:sz w:val="20"/>
        <w:szCs w:val="20"/>
        <w:lang w:val="en-CA"/>
      </w:rPr>
      <w:tab/>
    </w:r>
    <w:r w:rsidR="008D1CE2" w:rsidRPr="004D3351">
      <w:rPr>
        <w:sz w:val="20"/>
        <w:szCs w:val="20"/>
        <w:lang w:val="en-CA"/>
      </w:rPr>
      <w:fldChar w:fldCharType="begin"/>
    </w:r>
    <w:r w:rsidR="008D1CE2" w:rsidRPr="004D3351">
      <w:rPr>
        <w:sz w:val="20"/>
        <w:szCs w:val="20"/>
        <w:lang w:val="en-CA"/>
      </w:rPr>
      <w:instrText>PAGE   \* MERGEFORMAT</w:instrText>
    </w:r>
    <w:r w:rsidR="008D1CE2" w:rsidRPr="004D3351">
      <w:rPr>
        <w:sz w:val="20"/>
        <w:szCs w:val="20"/>
        <w:lang w:val="en-CA"/>
      </w:rPr>
      <w:fldChar w:fldCharType="separate"/>
    </w:r>
    <w:r w:rsidRPr="004D3351">
      <w:rPr>
        <w:sz w:val="20"/>
        <w:szCs w:val="20"/>
        <w:lang w:val="en-CA"/>
      </w:rPr>
      <w:t>1</w:t>
    </w:r>
    <w:r w:rsidR="008D1CE2" w:rsidRPr="004D3351">
      <w:rPr>
        <w:sz w:val="20"/>
        <w:szCs w:val="20"/>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5BB4" w14:textId="77777777" w:rsidR="00892637" w:rsidRPr="0083091B" w:rsidRDefault="50657CFB" w:rsidP="008D1CE2">
    <w:pPr>
      <w:pStyle w:val="NoSpacing"/>
      <w:rPr>
        <w:lang w:val="en-CA"/>
      </w:rPr>
    </w:pPr>
    <w:r w:rsidRPr="0083091B">
      <w:rPr>
        <w:lang w:val="en-CA"/>
      </w:rPr>
      <w:t xml:space="preserve">EMC Comments and Recommendations </w:t>
    </w:r>
  </w:p>
  <w:p w14:paraId="7B8EEBAB" w14:textId="77777777" w:rsidR="00892637" w:rsidRPr="0083091B" w:rsidRDefault="50657CFB" w:rsidP="008D1CE2">
    <w:pPr>
      <w:pStyle w:val="NoSpacing"/>
      <w:rPr>
        <w:lang w:val="en-CA"/>
      </w:rPr>
    </w:pPr>
    <w:r w:rsidRPr="0083091B">
      <w:rPr>
        <w:lang w:val="en-CA"/>
      </w:rPr>
      <w:t xml:space="preserve">Regulations Amending the Passenger Automobile and Light Truck Greenhouse Gas Emission Regulations </w:t>
    </w:r>
    <w:r w:rsidR="00892637" w:rsidRPr="0083091B">
      <w:rPr>
        <w:lang w:val="en-CA"/>
      </w:rPr>
      <w:tab/>
    </w:r>
    <w:r w:rsidR="00892637" w:rsidRPr="0083091B">
      <w:rPr>
        <w:lang w:val="en-CA"/>
      </w:rPr>
      <w:fldChar w:fldCharType="begin"/>
    </w:r>
    <w:r w:rsidR="00892637" w:rsidRPr="0083091B">
      <w:rPr>
        <w:lang w:val="en-CA"/>
      </w:rPr>
      <w:instrText>PAGE   \* MERGEFORMAT</w:instrText>
    </w:r>
    <w:r w:rsidR="00892637" w:rsidRPr="0083091B">
      <w:rPr>
        <w:lang w:val="en-CA"/>
      </w:rPr>
      <w:fldChar w:fldCharType="separate"/>
    </w:r>
    <w:r w:rsidRPr="0083091B">
      <w:rPr>
        <w:lang w:val="en-CA"/>
      </w:rPr>
      <w:t>2</w:t>
    </w:r>
    <w:r w:rsidR="00892637" w:rsidRPr="0083091B">
      <w:rPr>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4D73" w14:textId="77777777" w:rsidR="00C02870" w:rsidRDefault="00C02870" w:rsidP="004B75D0">
      <w:pPr>
        <w:spacing w:after="0" w:line="240" w:lineRule="auto"/>
      </w:pPr>
      <w:r>
        <w:separator/>
      </w:r>
    </w:p>
  </w:footnote>
  <w:footnote w:type="continuationSeparator" w:id="0">
    <w:p w14:paraId="5A6D6869" w14:textId="77777777" w:rsidR="00C02870" w:rsidRDefault="00C02870" w:rsidP="004B75D0">
      <w:pPr>
        <w:spacing w:after="0" w:line="240" w:lineRule="auto"/>
      </w:pPr>
      <w:r>
        <w:continuationSeparator/>
      </w:r>
    </w:p>
  </w:footnote>
  <w:footnote w:type="continuationNotice" w:id="1">
    <w:p w14:paraId="14079431" w14:textId="77777777" w:rsidR="00C02870" w:rsidRDefault="00C02870">
      <w:pPr>
        <w:spacing w:after="0" w:line="240" w:lineRule="auto"/>
      </w:pPr>
    </w:p>
  </w:footnote>
  <w:footnote w:id="2">
    <w:p w14:paraId="1E75496A" w14:textId="1B1A9D13" w:rsidR="00D50DA6" w:rsidRPr="00B94337" w:rsidRDefault="00D50DA6" w:rsidP="00A72377">
      <w:pPr>
        <w:pStyle w:val="FootnoteText"/>
        <w:ind w:left="284" w:hanging="284"/>
        <w:rPr>
          <w:sz w:val="18"/>
          <w:szCs w:val="18"/>
          <w:lang w:val="fr-CA"/>
        </w:rPr>
      </w:pPr>
      <w:r w:rsidRPr="00B94337">
        <w:rPr>
          <w:rStyle w:val="FootnoteReference"/>
          <w:sz w:val="18"/>
          <w:szCs w:val="18"/>
        </w:rPr>
        <w:footnoteRef/>
      </w:r>
      <w:r w:rsidRPr="00B94337">
        <w:rPr>
          <w:sz w:val="18"/>
          <w:szCs w:val="18"/>
        </w:rPr>
        <w:t xml:space="preserve"> </w:t>
      </w:r>
      <w:hyperlink r:id="rId1" w:history="1">
        <w:r w:rsidR="00E37D5C" w:rsidRPr="00B07979">
          <w:rPr>
            <w:rStyle w:val="Hyperlink"/>
            <w:sz w:val="18"/>
            <w:szCs w:val="18"/>
          </w:rPr>
          <w:t xml:space="preserve">Zero-Emission Vehicle (ZEV) Availability in Canada: Dunsky </w:t>
        </w:r>
        <w:r w:rsidR="007E0FA5" w:rsidRPr="00B07979">
          <w:rPr>
            <w:rStyle w:val="Hyperlink"/>
            <w:sz w:val="18"/>
            <w:szCs w:val="18"/>
          </w:rPr>
          <w:t>Updates its Cross-Country Inventory Report for Transport Canada</w:t>
        </w:r>
      </w:hyperlink>
      <w:r w:rsidR="00431AEC" w:rsidRPr="00B94337">
        <w:rPr>
          <w:sz w:val="18"/>
          <w:szCs w:val="18"/>
        </w:rPr>
        <w:t xml:space="preserve">, </w:t>
      </w:r>
      <w:r w:rsidR="007E0FA5">
        <w:rPr>
          <w:sz w:val="18"/>
          <w:szCs w:val="18"/>
        </w:rPr>
        <w:t>January 2023</w:t>
      </w:r>
      <w:r w:rsidR="00431AEC" w:rsidRPr="00B94337">
        <w:rPr>
          <w:sz w:val="18"/>
          <w:szCs w:val="18"/>
        </w:rPr>
        <w:t>.</w:t>
      </w:r>
      <w:r w:rsidR="00E37D5C" w:rsidRPr="00B94337">
        <w:rPr>
          <w:sz w:val="18"/>
          <w:szCs w:val="18"/>
        </w:rPr>
        <w:t xml:space="preserve"> </w:t>
      </w:r>
    </w:p>
  </w:footnote>
  <w:footnote w:id="3">
    <w:p w14:paraId="290F99B0" w14:textId="4B42C616" w:rsidR="00415D65" w:rsidRPr="00B94337" w:rsidRDefault="00415D65" w:rsidP="00A72377">
      <w:pPr>
        <w:pStyle w:val="FootnoteText"/>
        <w:ind w:left="284" w:hanging="284"/>
        <w:rPr>
          <w:sz w:val="18"/>
          <w:szCs w:val="18"/>
          <w:lang w:val="fr-CA"/>
        </w:rPr>
      </w:pPr>
      <w:r w:rsidRPr="00B94337">
        <w:rPr>
          <w:rStyle w:val="FootnoteReference"/>
          <w:sz w:val="18"/>
          <w:szCs w:val="18"/>
        </w:rPr>
        <w:footnoteRef/>
      </w:r>
      <w:r w:rsidRPr="00B94337">
        <w:rPr>
          <w:sz w:val="18"/>
          <w:szCs w:val="18"/>
        </w:rPr>
        <w:t xml:space="preserve"> </w:t>
      </w:r>
      <w:hyperlink r:id="rId2" w:history="1">
        <w:r w:rsidRPr="00B94337">
          <w:rPr>
            <w:rStyle w:val="Hyperlink"/>
            <w:sz w:val="18"/>
            <w:szCs w:val="18"/>
            <w:lang w:val="fr-CA"/>
          </w:rPr>
          <w:t xml:space="preserve">ZEV registrations </w:t>
        </w:r>
        <w:proofErr w:type="spellStart"/>
        <w:r w:rsidRPr="00B94337">
          <w:rPr>
            <w:rStyle w:val="Hyperlink"/>
            <w:sz w:val="18"/>
            <w:szCs w:val="18"/>
            <w:lang w:val="fr-CA"/>
          </w:rPr>
          <w:t>topped</w:t>
        </w:r>
        <w:proofErr w:type="spellEnd"/>
        <w:r w:rsidRPr="00B94337">
          <w:rPr>
            <w:rStyle w:val="Hyperlink"/>
            <w:sz w:val="18"/>
            <w:szCs w:val="18"/>
            <w:lang w:val="fr-CA"/>
          </w:rPr>
          <w:t xml:space="preserve"> 10 per cent Canadian </w:t>
        </w:r>
        <w:proofErr w:type="spellStart"/>
        <w:r w:rsidRPr="00B94337">
          <w:rPr>
            <w:rStyle w:val="Hyperlink"/>
            <w:sz w:val="18"/>
            <w:szCs w:val="18"/>
            <w:lang w:val="fr-CA"/>
          </w:rPr>
          <w:t>market</w:t>
        </w:r>
        <w:proofErr w:type="spellEnd"/>
        <w:r w:rsidRPr="00B94337">
          <w:rPr>
            <w:rStyle w:val="Hyperlink"/>
            <w:sz w:val="18"/>
            <w:szCs w:val="18"/>
            <w:lang w:val="fr-CA"/>
          </w:rPr>
          <w:t xml:space="preserve"> </w:t>
        </w:r>
        <w:proofErr w:type="spellStart"/>
        <w:r w:rsidRPr="00B94337">
          <w:rPr>
            <w:rStyle w:val="Hyperlink"/>
            <w:sz w:val="18"/>
            <w:szCs w:val="18"/>
            <w:lang w:val="fr-CA"/>
          </w:rPr>
          <w:t>share</w:t>
        </w:r>
        <w:proofErr w:type="spellEnd"/>
        <w:r w:rsidRPr="00B94337">
          <w:rPr>
            <w:rStyle w:val="Hyperlink"/>
            <w:sz w:val="18"/>
            <w:szCs w:val="18"/>
            <w:lang w:val="fr-CA"/>
          </w:rPr>
          <w:t xml:space="preserve"> in Q4 2022, S&amp;P data shows.</w:t>
        </w:r>
      </w:hyperlink>
      <w:r w:rsidRPr="00B94337">
        <w:rPr>
          <w:sz w:val="18"/>
          <w:szCs w:val="18"/>
          <w:lang w:val="fr-CA"/>
        </w:rPr>
        <w:t xml:space="preserve"> Electric Autonomy, </w:t>
      </w:r>
      <w:proofErr w:type="spellStart"/>
      <w:r w:rsidRPr="00B94337">
        <w:rPr>
          <w:sz w:val="18"/>
          <w:szCs w:val="18"/>
          <w:lang w:val="fr-CA"/>
        </w:rPr>
        <w:t>February</w:t>
      </w:r>
      <w:proofErr w:type="spellEnd"/>
      <w:r w:rsidRPr="00B94337">
        <w:rPr>
          <w:sz w:val="18"/>
          <w:szCs w:val="18"/>
          <w:lang w:val="fr-CA"/>
        </w:rPr>
        <w:t xml:space="preserve"> 13, 2023. </w:t>
      </w:r>
    </w:p>
  </w:footnote>
  <w:footnote w:id="4">
    <w:p w14:paraId="24D625F5" w14:textId="14497B74" w:rsidR="0007302C" w:rsidRPr="0007302C" w:rsidRDefault="0007302C" w:rsidP="00A72377">
      <w:pPr>
        <w:pStyle w:val="FootnoteText"/>
        <w:ind w:left="284" w:hanging="284"/>
        <w:rPr>
          <w:lang w:val="fr-CA"/>
        </w:rPr>
      </w:pPr>
      <w:r w:rsidRPr="00B94337">
        <w:rPr>
          <w:rStyle w:val="FootnoteReference"/>
          <w:sz w:val="18"/>
          <w:szCs w:val="18"/>
        </w:rPr>
        <w:footnoteRef/>
      </w:r>
      <w:r w:rsidRPr="00B94337">
        <w:rPr>
          <w:sz w:val="18"/>
          <w:szCs w:val="18"/>
        </w:rPr>
        <w:t xml:space="preserve"> </w:t>
      </w:r>
      <w:hyperlink r:id="rId3" w:history="1">
        <w:r w:rsidRPr="00B94337">
          <w:rPr>
            <w:rStyle w:val="Hyperlink"/>
            <w:sz w:val="18"/>
            <w:szCs w:val="18"/>
            <w:lang w:val="fr-CA"/>
          </w:rPr>
          <w:t xml:space="preserve">Fuel Economy in Major Car </w:t>
        </w:r>
        <w:proofErr w:type="spellStart"/>
        <w:r w:rsidRPr="00B94337">
          <w:rPr>
            <w:rStyle w:val="Hyperlink"/>
            <w:sz w:val="18"/>
            <w:szCs w:val="18"/>
            <w:lang w:val="fr-CA"/>
          </w:rPr>
          <w:t>Markets</w:t>
        </w:r>
        <w:proofErr w:type="spellEnd"/>
      </w:hyperlink>
      <w:r w:rsidRPr="00B94337">
        <w:rPr>
          <w:sz w:val="18"/>
          <w:szCs w:val="18"/>
          <w:lang w:val="fr-CA"/>
        </w:rPr>
        <w:t>, IEA</w:t>
      </w:r>
      <w:r w:rsidR="003971D1" w:rsidRPr="00B94337">
        <w:rPr>
          <w:sz w:val="18"/>
          <w:szCs w:val="18"/>
          <w:lang w:val="fr-CA"/>
        </w:rPr>
        <w:t>, March 2019</w:t>
      </w:r>
    </w:p>
  </w:footnote>
  <w:footnote w:id="5">
    <w:p w14:paraId="7A9DBAB3" w14:textId="35E635D6" w:rsidR="00914EB2" w:rsidRPr="00B94337" w:rsidRDefault="00914EB2">
      <w:pPr>
        <w:pStyle w:val="FootnoteText"/>
        <w:rPr>
          <w:sz w:val="18"/>
          <w:szCs w:val="18"/>
          <w:lang w:val="fr-CA"/>
        </w:rPr>
      </w:pPr>
      <w:r w:rsidRPr="00B94337">
        <w:rPr>
          <w:rStyle w:val="FootnoteReference"/>
          <w:sz w:val="18"/>
          <w:szCs w:val="18"/>
        </w:rPr>
        <w:footnoteRef/>
      </w:r>
      <w:r w:rsidRPr="00B94337">
        <w:rPr>
          <w:sz w:val="18"/>
          <w:szCs w:val="18"/>
        </w:rPr>
        <w:t xml:space="preserve"> </w:t>
      </w:r>
      <w:hyperlink r:id="rId4" w:history="1">
        <w:r w:rsidRPr="00B94337">
          <w:rPr>
            <w:rStyle w:val="Hyperlink"/>
            <w:sz w:val="18"/>
            <w:szCs w:val="18"/>
            <w:lang w:val="fr-CA"/>
          </w:rPr>
          <w:t xml:space="preserve">Auto </w:t>
        </w:r>
        <w:proofErr w:type="spellStart"/>
        <w:r w:rsidRPr="00B94337">
          <w:rPr>
            <w:rStyle w:val="Hyperlink"/>
            <w:sz w:val="18"/>
            <w:szCs w:val="18"/>
            <w:lang w:val="fr-CA"/>
          </w:rPr>
          <w:t>investment</w:t>
        </w:r>
        <w:proofErr w:type="spellEnd"/>
        <w:r w:rsidRPr="00B94337">
          <w:rPr>
            <w:rStyle w:val="Hyperlink"/>
            <w:sz w:val="18"/>
            <w:szCs w:val="18"/>
            <w:lang w:val="fr-CA"/>
          </w:rPr>
          <w:t xml:space="preserve"> in Canada </w:t>
        </w:r>
        <w:proofErr w:type="spellStart"/>
        <w:r w:rsidRPr="00B94337">
          <w:rPr>
            <w:rStyle w:val="Hyperlink"/>
            <w:sz w:val="18"/>
            <w:szCs w:val="18"/>
            <w:lang w:val="fr-CA"/>
          </w:rPr>
          <w:t>surging</w:t>
        </w:r>
        <w:proofErr w:type="spellEnd"/>
        <w:r w:rsidRPr="00B94337">
          <w:rPr>
            <w:rStyle w:val="Hyperlink"/>
            <w:sz w:val="18"/>
            <w:szCs w:val="18"/>
            <w:lang w:val="fr-CA"/>
          </w:rPr>
          <w:t xml:space="preserve"> </w:t>
        </w:r>
        <w:proofErr w:type="spellStart"/>
        <w:r w:rsidRPr="00B94337">
          <w:rPr>
            <w:rStyle w:val="Hyperlink"/>
            <w:sz w:val="18"/>
            <w:szCs w:val="18"/>
            <w:lang w:val="fr-CA"/>
          </w:rPr>
          <w:t>because</w:t>
        </w:r>
        <w:proofErr w:type="spellEnd"/>
        <w:r w:rsidRPr="00B94337">
          <w:rPr>
            <w:rStyle w:val="Hyperlink"/>
            <w:sz w:val="18"/>
            <w:szCs w:val="18"/>
            <w:lang w:val="fr-CA"/>
          </w:rPr>
          <w:t xml:space="preserve"> of </w:t>
        </w:r>
        <w:proofErr w:type="spellStart"/>
        <w:r w:rsidRPr="00B94337">
          <w:rPr>
            <w:rStyle w:val="Hyperlink"/>
            <w:sz w:val="18"/>
            <w:szCs w:val="18"/>
            <w:lang w:val="fr-CA"/>
          </w:rPr>
          <w:t>EVs</w:t>
        </w:r>
        <w:proofErr w:type="spellEnd"/>
        <w:r w:rsidRPr="00B94337">
          <w:rPr>
            <w:rStyle w:val="Hyperlink"/>
            <w:sz w:val="18"/>
            <w:szCs w:val="18"/>
            <w:lang w:val="fr-CA"/>
          </w:rPr>
          <w:t>, batteries, data shows</w:t>
        </w:r>
      </w:hyperlink>
      <w:r w:rsidRPr="00B94337">
        <w:rPr>
          <w:sz w:val="18"/>
          <w:szCs w:val="18"/>
          <w:lang w:val="fr-CA"/>
        </w:rPr>
        <w:t xml:space="preserve">, </w:t>
      </w:r>
      <w:r w:rsidR="00642A77" w:rsidRPr="00B94337">
        <w:rPr>
          <w:sz w:val="18"/>
          <w:szCs w:val="18"/>
          <w:lang w:val="fr-CA"/>
        </w:rPr>
        <w:t xml:space="preserve">Automotive News Canada, March 2, 2023. </w:t>
      </w:r>
    </w:p>
  </w:footnote>
  <w:footnote w:id="6">
    <w:p w14:paraId="72FB1FA9" w14:textId="6D1F1F0C" w:rsidR="000773DC" w:rsidRPr="00B94337" w:rsidRDefault="000773DC">
      <w:pPr>
        <w:pStyle w:val="FootnoteText"/>
        <w:rPr>
          <w:sz w:val="18"/>
          <w:szCs w:val="18"/>
        </w:rPr>
      </w:pPr>
      <w:r w:rsidRPr="00B94337">
        <w:rPr>
          <w:rStyle w:val="FootnoteReference"/>
          <w:sz w:val="18"/>
          <w:szCs w:val="18"/>
        </w:rPr>
        <w:footnoteRef/>
      </w:r>
      <w:r w:rsidRPr="00B94337">
        <w:rPr>
          <w:sz w:val="18"/>
          <w:szCs w:val="18"/>
        </w:rPr>
        <w:t xml:space="preserve"> </w:t>
      </w:r>
      <w:hyperlink r:id="rId5" w:history="1">
        <w:r w:rsidRPr="00B94337">
          <w:rPr>
            <w:rStyle w:val="Hyperlink"/>
            <w:sz w:val="18"/>
            <w:szCs w:val="18"/>
          </w:rPr>
          <w:t>B.C Zero-Emission Vehicles Act and Regulation</w:t>
        </w:r>
        <w:r w:rsidR="00D97138" w:rsidRPr="00B94337">
          <w:rPr>
            <w:rStyle w:val="Hyperlink"/>
            <w:sz w:val="18"/>
            <w:szCs w:val="18"/>
          </w:rPr>
          <w:t> : 2022 Formal Review Intentions Paper</w:t>
        </w:r>
      </w:hyperlink>
    </w:p>
  </w:footnote>
  <w:footnote w:id="7">
    <w:p w14:paraId="657B2166" w14:textId="3ED44DE0" w:rsidR="00351B25" w:rsidRPr="00B94337" w:rsidRDefault="00351B25">
      <w:pPr>
        <w:pStyle w:val="FootnoteText"/>
        <w:rPr>
          <w:sz w:val="18"/>
          <w:szCs w:val="18"/>
          <w:lang w:val="en-CA"/>
        </w:rPr>
      </w:pPr>
      <w:r w:rsidRPr="00B94337">
        <w:rPr>
          <w:rStyle w:val="FootnoteReference"/>
          <w:sz w:val="18"/>
          <w:szCs w:val="18"/>
        </w:rPr>
        <w:footnoteRef/>
      </w:r>
      <w:r w:rsidRPr="00B94337">
        <w:rPr>
          <w:sz w:val="18"/>
          <w:szCs w:val="18"/>
          <w:lang w:val="en-CA"/>
        </w:rPr>
        <w:t xml:space="preserve"> </w:t>
      </w:r>
      <w:hyperlink r:id="rId6" w:history="1">
        <w:r w:rsidR="002129A4" w:rsidRPr="00B94337">
          <w:rPr>
            <w:rStyle w:val="Hyperlink"/>
            <w:sz w:val="18"/>
            <w:szCs w:val="18"/>
            <w:lang w:val="en-CA"/>
          </w:rPr>
          <w:t>https://www.publicationsduquebec.gouv.qc.ca/fileadmin/gazette/pdf_encrypte/lois_reglements/2022A/105758.pdf</w:t>
        </w:r>
      </w:hyperlink>
      <w:r w:rsidR="002129A4" w:rsidRPr="00B94337">
        <w:rPr>
          <w:sz w:val="18"/>
          <w:szCs w:val="18"/>
          <w:lang w:val="en-CA"/>
        </w:rPr>
        <w:t xml:space="preserve"> </w:t>
      </w:r>
    </w:p>
  </w:footnote>
  <w:footnote w:id="8">
    <w:p w14:paraId="2C8BDF81" w14:textId="24615E90" w:rsidR="00CC4CDD" w:rsidRPr="00B94337" w:rsidRDefault="00CC4CDD" w:rsidP="00C416CD">
      <w:pPr>
        <w:pStyle w:val="FootnoteText"/>
        <w:ind w:left="284" w:hanging="284"/>
        <w:rPr>
          <w:sz w:val="18"/>
          <w:szCs w:val="18"/>
        </w:rPr>
      </w:pPr>
      <w:r w:rsidRPr="00B94337">
        <w:rPr>
          <w:rStyle w:val="FootnoteReference"/>
          <w:sz w:val="18"/>
          <w:szCs w:val="18"/>
        </w:rPr>
        <w:footnoteRef/>
      </w:r>
      <w:r w:rsidRPr="00B94337">
        <w:rPr>
          <w:sz w:val="18"/>
          <w:szCs w:val="18"/>
        </w:rPr>
        <w:t xml:space="preserve"> </w:t>
      </w:r>
      <w:hyperlink r:id="rId7" w:history="1">
        <w:r w:rsidRPr="00B94337">
          <w:rPr>
            <w:rStyle w:val="Hyperlink"/>
            <w:sz w:val="18"/>
            <w:szCs w:val="18"/>
          </w:rPr>
          <w:t>New motor vehicle registrations: Quarterly data visualization tool, Statistics Canada</w:t>
        </w:r>
      </w:hyperlink>
      <w:r w:rsidRPr="00B94337">
        <w:rPr>
          <w:sz w:val="18"/>
          <w:szCs w:val="18"/>
        </w:rPr>
        <w:t>. (</w:t>
      </w:r>
      <w:proofErr w:type="gramStart"/>
      <w:r w:rsidRPr="00B94337">
        <w:rPr>
          <w:sz w:val="18"/>
          <w:szCs w:val="18"/>
        </w:rPr>
        <w:t>data</w:t>
      </w:r>
      <w:proofErr w:type="gramEnd"/>
      <w:r w:rsidRPr="00B94337">
        <w:rPr>
          <w:sz w:val="18"/>
          <w:szCs w:val="18"/>
        </w:rPr>
        <w:t xml:space="preserve"> consulted on February 1, 2023)</w:t>
      </w:r>
    </w:p>
  </w:footnote>
  <w:footnote w:id="9">
    <w:p w14:paraId="0974B928" w14:textId="43FDF41E" w:rsidR="00CC4CDD" w:rsidRPr="00B94337" w:rsidRDefault="00CC4CDD" w:rsidP="00C416CD">
      <w:pPr>
        <w:pStyle w:val="FootnoteText"/>
        <w:ind w:left="284" w:hanging="284"/>
        <w:rPr>
          <w:rStyle w:val="FootnoteReference"/>
          <w:sz w:val="18"/>
          <w:szCs w:val="18"/>
        </w:rPr>
      </w:pPr>
      <w:r w:rsidRPr="00B94337">
        <w:rPr>
          <w:rStyle w:val="FootnoteReference"/>
          <w:sz w:val="18"/>
          <w:szCs w:val="18"/>
        </w:rPr>
        <w:footnoteRef/>
      </w:r>
      <w:r w:rsidRPr="00B94337">
        <w:rPr>
          <w:sz w:val="18"/>
          <w:szCs w:val="18"/>
        </w:rPr>
        <w:t xml:space="preserve"> </w:t>
      </w:r>
      <w:hyperlink r:id="rId8" w:history="1">
        <w:r w:rsidRPr="00B94337">
          <w:rPr>
            <w:rStyle w:val="Hyperlink"/>
            <w:sz w:val="18"/>
            <w:szCs w:val="18"/>
          </w:rPr>
          <w:t>Real world usage of plug-in hybrid vehicles in the United States, ICCT, December 2022</w:t>
        </w:r>
      </w:hyperlink>
    </w:p>
  </w:footnote>
  <w:footnote w:id="10">
    <w:p w14:paraId="5DEFF744" w14:textId="77777777" w:rsidR="00CC4CDD" w:rsidRDefault="00CC4CDD" w:rsidP="00C416CD">
      <w:pPr>
        <w:pStyle w:val="FootnoteText"/>
        <w:ind w:left="284" w:hanging="284"/>
      </w:pPr>
      <w:r w:rsidRPr="00B94337">
        <w:rPr>
          <w:rStyle w:val="FootnoteReference"/>
          <w:sz w:val="18"/>
          <w:szCs w:val="18"/>
        </w:rPr>
        <w:footnoteRef/>
      </w:r>
      <w:r w:rsidRPr="00B94337">
        <w:rPr>
          <w:sz w:val="18"/>
          <w:szCs w:val="18"/>
        </w:rPr>
        <w:t xml:space="preserve"> </w:t>
      </w:r>
      <w:hyperlink r:id="rId9" w:history="1">
        <w:r w:rsidRPr="00B94337">
          <w:rPr>
            <w:color w:val="0562C1"/>
            <w:w w:val="110"/>
            <w:sz w:val="18"/>
            <w:szCs w:val="18"/>
            <w:u w:val="single"/>
          </w:rPr>
          <w:t>Canada’s Path to 100% Zero-Emission Light-Duty Vehicle Sales: Regulatory Options and Greenhouse Gas Impacts, ICCT,</w:t>
        </w:r>
      </w:hyperlink>
      <w:r w:rsidRPr="00B94337">
        <w:rPr>
          <w:color w:val="0562C1"/>
          <w:w w:val="110"/>
          <w:sz w:val="18"/>
          <w:szCs w:val="18"/>
        </w:rPr>
        <w:t xml:space="preserve"> </w:t>
      </w:r>
      <w:hyperlink r:id="rId10" w:history="1">
        <w:r w:rsidRPr="00B94337">
          <w:rPr>
            <w:color w:val="0562C1"/>
            <w:w w:val="110"/>
            <w:sz w:val="18"/>
            <w:szCs w:val="18"/>
            <w:u w:val="single"/>
          </w:rPr>
          <w:t>June 2022.</w:t>
        </w:r>
      </w:hyperlink>
    </w:p>
  </w:footnote>
  <w:footnote w:id="11">
    <w:p w14:paraId="5923EFD7" w14:textId="16A54262" w:rsidR="00E531F4" w:rsidRPr="00B94337" w:rsidRDefault="00E531F4">
      <w:pPr>
        <w:pStyle w:val="FootnoteText"/>
        <w:rPr>
          <w:rFonts w:cstheme="minorHAnsi"/>
          <w:sz w:val="18"/>
          <w:szCs w:val="18"/>
        </w:rPr>
      </w:pPr>
      <w:r w:rsidRPr="00B94337">
        <w:rPr>
          <w:rStyle w:val="FootnoteReference"/>
          <w:rFonts w:cstheme="minorHAnsi"/>
          <w:sz w:val="18"/>
          <w:szCs w:val="18"/>
        </w:rPr>
        <w:footnoteRef/>
      </w:r>
      <w:r w:rsidRPr="00B94337">
        <w:rPr>
          <w:rFonts w:cstheme="minorHAnsi"/>
          <w:sz w:val="18"/>
          <w:szCs w:val="18"/>
        </w:rPr>
        <w:t xml:space="preserve"> </w:t>
      </w:r>
      <w:r w:rsidRPr="00B94337">
        <w:rPr>
          <w:rFonts w:eastAsia="Times New Roman" w:cstheme="minorHAnsi"/>
          <w:b/>
          <w:bCs/>
          <w:sz w:val="18"/>
          <w:szCs w:val="18"/>
        </w:rPr>
        <w:t>Resilient LLP</w:t>
      </w:r>
      <w:r w:rsidRPr="00B94337">
        <w:rPr>
          <w:rFonts w:eastAsia="Times New Roman" w:cstheme="minorHAnsi"/>
          <w:sz w:val="18"/>
          <w:szCs w:val="18"/>
        </w:rPr>
        <w:t xml:space="preserve"> performed a limited legal review of this submission. </w:t>
      </w:r>
      <w:r w:rsidR="00816B3A" w:rsidRPr="00B94337">
        <w:rPr>
          <w:rFonts w:eastAsia="Times New Roman" w:cstheme="minorHAnsi"/>
          <w:sz w:val="18"/>
          <w:szCs w:val="18"/>
        </w:rPr>
        <w:t xml:space="preserve">See Appendix </w:t>
      </w:r>
      <w:r w:rsidR="00DE41F2" w:rsidRPr="00B94337">
        <w:rPr>
          <w:rFonts w:eastAsia="Times New Roman" w:cstheme="minorHAnsi"/>
          <w:sz w:val="18"/>
          <w:szCs w:val="18"/>
        </w:rPr>
        <w:t>A.</w:t>
      </w:r>
    </w:p>
  </w:footnote>
  <w:footnote w:id="12">
    <w:p w14:paraId="0B9A7912" w14:textId="294F4336" w:rsidR="005F7D51" w:rsidRPr="00B94337" w:rsidRDefault="005F7D51" w:rsidP="005F7D51">
      <w:pPr>
        <w:pStyle w:val="pf0"/>
        <w:spacing w:before="0" w:beforeAutospacing="0" w:after="0" w:afterAutospacing="0"/>
        <w:rPr>
          <w:rFonts w:asciiTheme="minorHAnsi" w:hAnsiTheme="minorHAnsi" w:cstheme="minorHAnsi"/>
          <w:sz w:val="18"/>
          <w:szCs w:val="18"/>
          <w:lang w:val="en-CA"/>
        </w:rPr>
      </w:pPr>
      <w:r w:rsidRPr="00B94337">
        <w:rPr>
          <w:rStyle w:val="FootnoteReference"/>
          <w:rFonts w:asciiTheme="minorHAnsi" w:hAnsiTheme="minorHAnsi" w:cstheme="minorHAnsi"/>
          <w:sz w:val="18"/>
          <w:szCs w:val="18"/>
        </w:rPr>
        <w:footnoteRef/>
      </w:r>
      <w:r w:rsidRPr="00B94337">
        <w:rPr>
          <w:rFonts w:asciiTheme="minorHAnsi" w:hAnsiTheme="minorHAnsi" w:cstheme="minorHAnsi"/>
          <w:sz w:val="18"/>
          <w:szCs w:val="18"/>
          <w:lang w:val="en-CA"/>
        </w:rPr>
        <w:t xml:space="preserve"> </w:t>
      </w:r>
      <w:r w:rsidRPr="00B94337">
        <w:rPr>
          <w:rStyle w:val="cf01"/>
          <w:rFonts w:asciiTheme="minorHAnsi" w:hAnsiTheme="minorHAnsi" w:cstheme="minorHAnsi"/>
          <w:sz w:val="18"/>
          <w:szCs w:val="18"/>
          <w:lang w:val="en-CA"/>
        </w:rPr>
        <w:t>This approach draws upon best practices in the California LCFS regulation.</w:t>
      </w:r>
    </w:p>
  </w:footnote>
  <w:footnote w:id="13">
    <w:p w14:paraId="44C3CB9E" w14:textId="7B163CD5" w:rsidR="00CC4CDD" w:rsidRPr="00B94337" w:rsidRDefault="00CC4CDD" w:rsidP="005F7D51">
      <w:pPr>
        <w:pStyle w:val="FootnoteText"/>
        <w:rPr>
          <w:rFonts w:cstheme="minorHAnsi"/>
          <w:sz w:val="18"/>
          <w:szCs w:val="18"/>
        </w:rPr>
      </w:pPr>
      <w:r w:rsidRPr="00B94337">
        <w:rPr>
          <w:rStyle w:val="FootnoteReference"/>
          <w:rFonts w:cstheme="minorHAnsi"/>
          <w:sz w:val="18"/>
          <w:szCs w:val="18"/>
        </w:rPr>
        <w:footnoteRef/>
      </w:r>
      <w:r w:rsidRPr="00B94337">
        <w:rPr>
          <w:rFonts w:cstheme="minorHAnsi"/>
          <w:sz w:val="18"/>
          <w:szCs w:val="18"/>
        </w:rPr>
        <w:t xml:space="preserve"> </w:t>
      </w:r>
      <w:hyperlink r:id="rId11" w:history="1">
        <w:r w:rsidRPr="00B94337">
          <w:rPr>
            <w:rStyle w:val="Hyperlink"/>
            <w:rFonts w:cstheme="minorHAnsi"/>
            <w:sz w:val="18"/>
            <w:szCs w:val="18"/>
          </w:rPr>
          <w:t>Time for a U-Turn - Automakers’ History of Intransigence and an Opportunity for Change, Union of Concerned Scientists, December 2017.</w:t>
        </w:r>
      </w:hyperlink>
      <w:r w:rsidRPr="00B94337">
        <w:rPr>
          <w:rFonts w:cstheme="minorHAnsi"/>
          <w:sz w:val="18"/>
          <w:szCs w:val="18"/>
        </w:rPr>
        <w:t xml:space="preserve"> </w:t>
      </w:r>
    </w:p>
  </w:footnote>
  <w:footnote w:id="14">
    <w:p w14:paraId="632F45CD" w14:textId="0E8C61D1" w:rsidR="00CC4CDD" w:rsidRDefault="00CC4CDD">
      <w:pPr>
        <w:pStyle w:val="FootnoteText"/>
      </w:pPr>
      <w:r w:rsidRPr="00B94337">
        <w:rPr>
          <w:rStyle w:val="FootnoteReference"/>
          <w:sz w:val="18"/>
          <w:szCs w:val="18"/>
        </w:rPr>
        <w:footnoteRef/>
      </w:r>
      <w:r w:rsidRPr="00B94337">
        <w:rPr>
          <w:sz w:val="18"/>
          <w:szCs w:val="18"/>
        </w:rPr>
        <w:t xml:space="preserve"> </w:t>
      </w:r>
      <w:r w:rsidR="000119C1" w:rsidRPr="00B94337">
        <w:rPr>
          <w:sz w:val="18"/>
          <w:szCs w:val="18"/>
        </w:rPr>
        <w:t>Q4 ZEV sales in Canada</w:t>
      </w:r>
      <w:r w:rsidR="00500BCC" w:rsidRPr="00B94337">
        <w:rPr>
          <w:sz w:val="18"/>
          <w:szCs w:val="18"/>
        </w:rPr>
        <w:t>:</w:t>
      </w:r>
      <w:r w:rsidR="00AD1D6A" w:rsidRPr="00B94337">
        <w:rPr>
          <w:sz w:val="18"/>
          <w:szCs w:val="18"/>
        </w:rPr>
        <w:t xml:space="preserve"> </w:t>
      </w:r>
      <w:hyperlink r:id="rId12" w:history="1">
        <w:r w:rsidR="00AD1D6A" w:rsidRPr="00B94337">
          <w:rPr>
            <w:rStyle w:val="Hyperlink"/>
            <w:sz w:val="18"/>
            <w:szCs w:val="18"/>
          </w:rPr>
          <w:t>Canadian Automotive Insights</w:t>
        </w:r>
        <w:r w:rsidR="00B22287" w:rsidRPr="00B94337">
          <w:rPr>
            <w:rStyle w:val="Hyperlink"/>
            <w:sz w:val="18"/>
            <w:szCs w:val="18"/>
          </w:rPr>
          <w:t xml:space="preserve">, Q4 2022, </w:t>
        </w:r>
        <w:r w:rsidR="00AD1D6A" w:rsidRPr="00B94337">
          <w:rPr>
            <w:rStyle w:val="Hyperlink"/>
            <w:sz w:val="18"/>
            <w:szCs w:val="18"/>
          </w:rPr>
          <w:t>S&amp;P Global Mobility</w:t>
        </w:r>
      </w:hyperlink>
      <w:r w:rsidR="002C4D86" w:rsidRPr="00B94337">
        <w:rPr>
          <w:sz w:val="18"/>
          <w:szCs w:val="18"/>
        </w:rPr>
        <w:t xml:space="preserve">. California ZEV Sales: </w:t>
      </w:r>
      <w:hyperlink r:id="rId13" w:history="1">
        <w:r w:rsidR="00C07047" w:rsidRPr="00B94337">
          <w:rPr>
            <w:rStyle w:val="Hyperlink"/>
            <w:sz w:val="18"/>
            <w:szCs w:val="18"/>
          </w:rPr>
          <w:t>California – Plug-in Sales</w:t>
        </w:r>
        <w:r w:rsidR="0049129A" w:rsidRPr="00B94337">
          <w:rPr>
            <w:rStyle w:val="Hyperlink"/>
            <w:sz w:val="18"/>
            <w:szCs w:val="18"/>
          </w:rPr>
          <w:t xml:space="preserve"> Surged to 24% Market Share in Q4 2022, </w:t>
        </w:r>
        <w:proofErr w:type="spellStart"/>
        <w:r w:rsidR="00C07047" w:rsidRPr="00B94337">
          <w:rPr>
            <w:rStyle w:val="Hyperlink"/>
            <w:sz w:val="18"/>
            <w:szCs w:val="18"/>
          </w:rPr>
          <w:t>InsideEVs</w:t>
        </w:r>
        <w:proofErr w:type="spellEnd"/>
      </w:hyperlink>
      <w:r w:rsidR="00C07047">
        <w:t xml:space="preserve"> </w:t>
      </w:r>
    </w:p>
  </w:footnote>
  <w:footnote w:id="15">
    <w:p w14:paraId="7653FB47" w14:textId="497915BE" w:rsidR="00602368" w:rsidRPr="00B94337" w:rsidRDefault="00602368" w:rsidP="00602368">
      <w:pPr>
        <w:pStyle w:val="FootnoteText"/>
        <w:rPr>
          <w:sz w:val="18"/>
          <w:szCs w:val="18"/>
          <w:lang w:val="en-CA"/>
        </w:rPr>
      </w:pPr>
      <w:r w:rsidRPr="00B94337">
        <w:rPr>
          <w:rStyle w:val="FootnoteReference"/>
          <w:sz w:val="18"/>
          <w:szCs w:val="18"/>
          <w:lang w:val="en-CA"/>
        </w:rPr>
        <w:footnoteRef/>
      </w:r>
      <w:r w:rsidRPr="00B94337">
        <w:rPr>
          <w:sz w:val="18"/>
          <w:szCs w:val="18"/>
          <w:lang w:val="en-CA"/>
        </w:rPr>
        <w:t xml:space="preserve"> </w:t>
      </w:r>
      <w:hyperlink r:id="rId14" w:history="1">
        <w:r w:rsidRPr="00B94337">
          <w:rPr>
            <w:rStyle w:val="Hyperlink"/>
            <w:sz w:val="18"/>
            <w:szCs w:val="18"/>
            <w:lang w:val="en-CA"/>
          </w:rPr>
          <w:t>Health Impacts of Traffic-Related Air Pollution in Canada, Health Canada, February 2022.</w:t>
        </w:r>
      </w:hyperlink>
      <w:r w:rsidRPr="00B94337">
        <w:rPr>
          <w:sz w:val="18"/>
          <w:szCs w:val="18"/>
          <w:lang w:val="en-CA"/>
        </w:rPr>
        <w:t xml:space="preserve"> </w:t>
      </w:r>
    </w:p>
  </w:footnote>
  <w:footnote w:id="16">
    <w:p w14:paraId="6EF408C7" w14:textId="5FD890F6" w:rsidR="00DF171C" w:rsidRPr="0049129A" w:rsidRDefault="00DF171C">
      <w:pPr>
        <w:pStyle w:val="FootnoteText"/>
      </w:pPr>
      <w:r w:rsidRPr="00B94337">
        <w:rPr>
          <w:rStyle w:val="FootnoteReference"/>
          <w:sz w:val="18"/>
          <w:szCs w:val="18"/>
          <w:lang w:val="en-CA"/>
        </w:rPr>
        <w:footnoteRef/>
      </w:r>
      <w:r w:rsidRPr="00B94337">
        <w:rPr>
          <w:sz w:val="18"/>
          <w:szCs w:val="18"/>
          <w:lang w:val="en-CA"/>
        </w:rPr>
        <w:t xml:space="preserve"> </w:t>
      </w:r>
      <w:hyperlink r:id="rId15" w:history="1">
        <w:r w:rsidRPr="00B94337">
          <w:rPr>
            <w:rStyle w:val="Hyperlink"/>
            <w:sz w:val="18"/>
            <w:szCs w:val="18"/>
            <w:lang w:val="en-CA"/>
          </w:rPr>
          <w:t>Canada’s electric vehicle sales targets will reduce air pollution and create at least $90 billion in health benefits, TAF, March 7, 2023</w:t>
        </w:r>
      </w:hyperlink>
    </w:p>
  </w:footnote>
  <w:footnote w:id="17">
    <w:p w14:paraId="6ED45100" w14:textId="74D046A3" w:rsidR="00155B53" w:rsidRPr="00B94337" w:rsidRDefault="00155B53">
      <w:pPr>
        <w:pStyle w:val="FootnoteText"/>
        <w:rPr>
          <w:sz w:val="18"/>
          <w:szCs w:val="18"/>
        </w:rPr>
      </w:pPr>
      <w:r w:rsidRPr="00B94337">
        <w:rPr>
          <w:rStyle w:val="FootnoteReference"/>
          <w:sz w:val="18"/>
          <w:szCs w:val="18"/>
        </w:rPr>
        <w:footnoteRef/>
      </w:r>
      <w:r w:rsidRPr="00B94337">
        <w:rPr>
          <w:sz w:val="18"/>
          <w:szCs w:val="18"/>
        </w:rPr>
        <w:t xml:space="preserve"> </w:t>
      </w:r>
      <w:hyperlink r:id="rId16" w:history="1">
        <w:proofErr w:type="spellStart"/>
        <w:r w:rsidR="006873F2" w:rsidRPr="00B94337">
          <w:rPr>
            <w:rStyle w:val="Hyperlink"/>
            <w:sz w:val="18"/>
            <w:szCs w:val="18"/>
          </w:rPr>
          <w:t>eMHDV</w:t>
        </w:r>
        <w:proofErr w:type="spellEnd"/>
        <w:r w:rsidR="006873F2" w:rsidRPr="00B94337">
          <w:rPr>
            <w:rStyle w:val="Hyperlink"/>
            <w:sz w:val="18"/>
            <w:szCs w:val="18"/>
          </w:rPr>
          <w:t xml:space="preserve"> Ecosystem Gaps, EMC MHDV Working Group, September 2022</w:t>
        </w:r>
      </w:hyperlink>
      <w:r w:rsidR="00811DF4" w:rsidRPr="00B9433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3484" w14:textId="7E6C8B79" w:rsidR="00BC46E2" w:rsidRDefault="50657CFB" w:rsidP="00BC46E2">
    <w:pPr>
      <w:pStyle w:val="Header"/>
      <w:jc w:val="right"/>
    </w:pPr>
    <w:r>
      <w:rPr>
        <w:noProof/>
      </w:rPr>
      <w:drawing>
        <wp:inline distT="0" distB="0" distL="0" distR="0" wp14:anchorId="252F98FC" wp14:editId="176EA3A5">
          <wp:extent cx="1800000" cy="59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0000" cy="592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E34" w14:textId="77777777" w:rsidR="00892637" w:rsidRDefault="50657CFB" w:rsidP="00BC46E2">
    <w:pPr>
      <w:pStyle w:val="Header"/>
      <w:jc w:val="right"/>
    </w:pPr>
    <w:r>
      <w:rPr>
        <w:noProof/>
      </w:rPr>
      <w:drawing>
        <wp:inline distT="0" distB="0" distL="0" distR="0" wp14:anchorId="07333722" wp14:editId="2E01693A">
          <wp:extent cx="1800000" cy="59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0000" cy="592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0B3E" w14:textId="1A5A0578" w:rsidR="00892637" w:rsidRDefault="50657CFB" w:rsidP="00892637">
    <w:pPr>
      <w:pStyle w:val="Header"/>
      <w:jc w:val="right"/>
    </w:pPr>
    <w:r>
      <w:rPr>
        <w:noProof/>
      </w:rPr>
      <w:drawing>
        <wp:inline distT="0" distB="0" distL="0" distR="0" wp14:anchorId="0A908C10" wp14:editId="60DAC44C">
          <wp:extent cx="1800000" cy="59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00000" cy="5925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7c5vE3cTv3xF3X" int2:id="Oj4X7L1j">
      <int2:state int2:value="Rejected" int2:type="LegacyProofing"/>
    </int2:textHash>
    <int2:textHash int2:hashCode="C1UyOpXaJbFfJa" int2:id="WBO5o4UF">
      <int2:state int2:value="Rejected" int2:type="LegacyProofing"/>
    </int2:textHash>
    <int2:textHash int2:hashCode="PRQetwRBmWZdY+" int2:id="XTSMIOdU">
      <int2:state int2:value="Rejected" int2:type="LegacyProofing"/>
    </int2:textHash>
    <int2:textHash int2:hashCode="cyDitdC3wsr5IP" int2:id="gmbIsY6r">
      <int2:state int2:value="Rejected" int2:type="LegacyProofing"/>
    </int2:textHash>
    <int2:textHash int2:hashCode="6voixmMhrwzG4+" int2:id="grYlCrSL">
      <int2:state int2:value="Rejected" int2:type="LegacyProofing"/>
    </int2:textHash>
    <int2:textHash int2:hashCode="Az+l2NnqaLkbfU" int2:id="nFZRvo9f">
      <int2:state int2:value="Rejected" int2:type="LegacyProofing"/>
    </int2:textHash>
    <int2:textHash int2:hashCode="keQb3yvlwat3Sn" int2:id="nGJ3EStH">
      <int2:state int2:value="Rejected" int2:type="LegacyProofing"/>
    </int2:textHash>
    <int2:textHash int2:hashCode="F3x6ONwkI47dVj" int2:id="r7fqo632">
      <int2:state int2:value="Rejected" int2:type="LegacyProofing"/>
    </int2:textHash>
    <int2:textHash int2:hashCode="PWN/xgSZW1GgSN" int2:id="wPK9bbu4">
      <int2:state int2:value="Rejected" int2:type="LegacyProofing"/>
    </int2:textHash>
    <int2:bookmark int2:bookmarkName="_Int_ykDXageX" int2:invalidationBookmarkName="" int2:hashCode="p6BRNVw+BftfuA" int2:id="1199R3H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A79F"/>
    <w:multiLevelType w:val="multilevel"/>
    <w:tmpl w:val="E4CE51E0"/>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B37362"/>
    <w:multiLevelType w:val="multilevel"/>
    <w:tmpl w:val="65060E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D7A8D3"/>
    <w:multiLevelType w:val="hybridMultilevel"/>
    <w:tmpl w:val="DB1C6BF2"/>
    <w:lvl w:ilvl="0" w:tplc="B6FEAFF0">
      <w:start w:val="1"/>
      <w:numFmt w:val="bullet"/>
      <w:lvlText w:val="-"/>
      <w:lvlJc w:val="left"/>
      <w:pPr>
        <w:ind w:left="720" w:hanging="360"/>
      </w:pPr>
      <w:rPr>
        <w:rFonts w:ascii="Calibri" w:hAnsi="Calibri" w:hint="default"/>
      </w:rPr>
    </w:lvl>
    <w:lvl w:ilvl="1" w:tplc="06821F1E">
      <w:start w:val="1"/>
      <w:numFmt w:val="bullet"/>
      <w:lvlText w:val="o"/>
      <w:lvlJc w:val="left"/>
      <w:pPr>
        <w:ind w:left="1440" w:hanging="360"/>
      </w:pPr>
      <w:rPr>
        <w:rFonts w:ascii="Courier New" w:hAnsi="Courier New" w:hint="default"/>
      </w:rPr>
    </w:lvl>
    <w:lvl w:ilvl="2" w:tplc="2C50806C">
      <w:start w:val="1"/>
      <w:numFmt w:val="bullet"/>
      <w:lvlText w:val=""/>
      <w:lvlJc w:val="left"/>
      <w:pPr>
        <w:ind w:left="2160" w:hanging="360"/>
      </w:pPr>
      <w:rPr>
        <w:rFonts w:ascii="Wingdings" w:hAnsi="Wingdings" w:hint="default"/>
      </w:rPr>
    </w:lvl>
    <w:lvl w:ilvl="3" w:tplc="3A8092F6">
      <w:start w:val="1"/>
      <w:numFmt w:val="bullet"/>
      <w:lvlText w:val=""/>
      <w:lvlJc w:val="left"/>
      <w:pPr>
        <w:ind w:left="2880" w:hanging="360"/>
      </w:pPr>
      <w:rPr>
        <w:rFonts w:ascii="Symbol" w:hAnsi="Symbol" w:hint="default"/>
      </w:rPr>
    </w:lvl>
    <w:lvl w:ilvl="4" w:tplc="7F4600B4">
      <w:start w:val="1"/>
      <w:numFmt w:val="bullet"/>
      <w:lvlText w:val="o"/>
      <w:lvlJc w:val="left"/>
      <w:pPr>
        <w:ind w:left="3600" w:hanging="360"/>
      </w:pPr>
      <w:rPr>
        <w:rFonts w:ascii="Courier New" w:hAnsi="Courier New" w:hint="default"/>
      </w:rPr>
    </w:lvl>
    <w:lvl w:ilvl="5" w:tplc="339EAB80">
      <w:start w:val="1"/>
      <w:numFmt w:val="bullet"/>
      <w:lvlText w:val=""/>
      <w:lvlJc w:val="left"/>
      <w:pPr>
        <w:ind w:left="4320" w:hanging="360"/>
      </w:pPr>
      <w:rPr>
        <w:rFonts w:ascii="Wingdings" w:hAnsi="Wingdings" w:hint="default"/>
      </w:rPr>
    </w:lvl>
    <w:lvl w:ilvl="6" w:tplc="B94E75F2">
      <w:start w:val="1"/>
      <w:numFmt w:val="bullet"/>
      <w:lvlText w:val=""/>
      <w:lvlJc w:val="left"/>
      <w:pPr>
        <w:ind w:left="5040" w:hanging="360"/>
      </w:pPr>
      <w:rPr>
        <w:rFonts w:ascii="Symbol" w:hAnsi="Symbol" w:hint="default"/>
      </w:rPr>
    </w:lvl>
    <w:lvl w:ilvl="7" w:tplc="4710A9C2">
      <w:start w:val="1"/>
      <w:numFmt w:val="bullet"/>
      <w:lvlText w:val="o"/>
      <w:lvlJc w:val="left"/>
      <w:pPr>
        <w:ind w:left="5760" w:hanging="360"/>
      </w:pPr>
      <w:rPr>
        <w:rFonts w:ascii="Courier New" w:hAnsi="Courier New" w:hint="default"/>
      </w:rPr>
    </w:lvl>
    <w:lvl w:ilvl="8" w:tplc="FBE07206">
      <w:start w:val="1"/>
      <w:numFmt w:val="bullet"/>
      <w:lvlText w:val=""/>
      <w:lvlJc w:val="left"/>
      <w:pPr>
        <w:ind w:left="6480" w:hanging="360"/>
      </w:pPr>
      <w:rPr>
        <w:rFonts w:ascii="Wingdings" w:hAnsi="Wingdings" w:hint="default"/>
      </w:rPr>
    </w:lvl>
  </w:abstractNum>
  <w:abstractNum w:abstractNumId="3" w15:restartNumberingAfterBreak="0">
    <w:nsid w:val="063C684C"/>
    <w:multiLevelType w:val="hybridMultilevel"/>
    <w:tmpl w:val="27B241C8"/>
    <w:lvl w:ilvl="0" w:tplc="FFFFFFFF">
      <w:start w:val="1"/>
      <w:numFmt w:val="lowerLetter"/>
      <w:lvlText w:val="%1."/>
      <w:lvlJc w:val="left"/>
      <w:pPr>
        <w:ind w:left="360" w:hanging="360"/>
      </w:p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67B4B67"/>
    <w:multiLevelType w:val="hybridMultilevel"/>
    <w:tmpl w:val="5A2CBBB8"/>
    <w:lvl w:ilvl="0" w:tplc="7A2C8400">
      <w:start w:val="1"/>
      <w:numFmt w:val="bullet"/>
      <w:lvlText w:val="-"/>
      <w:lvlJc w:val="left"/>
      <w:pPr>
        <w:ind w:left="1080" w:hanging="360"/>
      </w:pPr>
      <w:rPr>
        <w:rFonts w:ascii="Calibri" w:eastAsiaTheme="minorHAnsi" w:hAnsi="Calibri" w:cs="Calibri" w:hint="default"/>
        <w:color w:val="121416"/>
        <w:sz w:val="24"/>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06ED6E75"/>
    <w:multiLevelType w:val="hybridMultilevel"/>
    <w:tmpl w:val="80CA5F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74814F0"/>
    <w:multiLevelType w:val="hybridMultilevel"/>
    <w:tmpl w:val="F38859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B3B027B"/>
    <w:multiLevelType w:val="hybridMultilevel"/>
    <w:tmpl w:val="60643D16"/>
    <w:lvl w:ilvl="0" w:tplc="EC3A003E">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12FD27EA"/>
    <w:multiLevelType w:val="hybridMultilevel"/>
    <w:tmpl w:val="238C0B16"/>
    <w:lvl w:ilvl="0" w:tplc="375088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AE923A3"/>
    <w:multiLevelType w:val="hybridMultilevel"/>
    <w:tmpl w:val="03E01D16"/>
    <w:lvl w:ilvl="0" w:tplc="375088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0F12D3"/>
    <w:multiLevelType w:val="hybridMultilevel"/>
    <w:tmpl w:val="758AC0B6"/>
    <w:lvl w:ilvl="0" w:tplc="3750880E">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D6614A5"/>
    <w:multiLevelType w:val="hybridMultilevel"/>
    <w:tmpl w:val="ED128F30"/>
    <w:lvl w:ilvl="0" w:tplc="1ADCBE10">
      <w:start w:val="3"/>
      <w:numFmt w:val="bullet"/>
      <w:lvlText w:val="-"/>
      <w:lvlJc w:val="left"/>
      <w:pPr>
        <w:ind w:left="1080" w:hanging="360"/>
      </w:pPr>
      <w:rPr>
        <w:rFonts w:ascii="Roboto" w:eastAsia="Times New Roman" w:hAnsi="Roboto"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29EB47AB"/>
    <w:multiLevelType w:val="hybridMultilevel"/>
    <w:tmpl w:val="8F96E9F4"/>
    <w:lvl w:ilvl="0" w:tplc="3750880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A4310BF"/>
    <w:multiLevelType w:val="hybridMultilevel"/>
    <w:tmpl w:val="440876B8"/>
    <w:lvl w:ilvl="0" w:tplc="04090001">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BBB7003"/>
    <w:multiLevelType w:val="hybridMultilevel"/>
    <w:tmpl w:val="CB2E1880"/>
    <w:lvl w:ilvl="0" w:tplc="DA9E817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292F0F"/>
    <w:multiLevelType w:val="hybridMultilevel"/>
    <w:tmpl w:val="3CFAACA6"/>
    <w:lvl w:ilvl="0" w:tplc="3750880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9783F35"/>
    <w:multiLevelType w:val="multilevel"/>
    <w:tmpl w:val="6E98486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56043"/>
    <w:multiLevelType w:val="hybridMultilevel"/>
    <w:tmpl w:val="599297DC"/>
    <w:lvl w:ilvl="0" w:tplc="0CCEB8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EB20BF"/>
    <w:multiLevelType w:val="hybridMultilevel"/>
    <w:tmpl w:val="0694AFC0"/>
    <w:lvl w:ilvl="0" w:tplc="9EA80D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AD5D78"/>
    <w:multiLevelType w:val="hybridMultilevel"/>
    <w:tmpl w:val="07D6DF18"/>
    <w:lvl w:ilvl="0" w:tplc="3750880E">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11340AA"/>
    <w:multiLevelType w:val="hybridMultilevel"/>
    <w:tmpl w:val="0FDCD16E"/>
    <w:lvl w:ilvl="0" w:tplc="3750880E">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14411D8"/>
    <w:multiLevelType w:val="hybridMultilevel"/>
    <w:tmpl w:val="12DA9FF6"/>
    <w:lvl w:ilvl="0" w:tplc="985A352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5047B3E"/>
    <w:multiLevelType w:val="hybridMultilevel"/>
    <w:tmpl w:val="AA201F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5E809A8"/>
    <w:multiLevelType w:val="hybridMultilevel"/>
    <w:tmpl w:val="429497FC"/>
    <w:lvl w:ilvl="0" w:tplc="3750880E">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66A771A"/>
    <w:multiLevelType w:val="hybridMultilevel"/>
    <w:tmpl w:val="43CEA260"/>
    <w:lvl w:ilvl="0" w:tplc="D26E3D20">
      <w:start w:val="2"/>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D403CB4"/>
    <w:multiLevelType w:val="hybridMultilevel"/>
    <w:tmpl w:val="2D36DD48"/>
    <w:lvl w:ilvl="0" w:tplc="375088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B76317"/>
    <w:multiLevelType w:val="hybridMultilevel"/>
    <w:tmpl w:val="517A4C9C"/>
    <w:lvl w:ilvl="0" w:tplc="3750880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2273E04"/>
    <w:multiLevelType w:val="hybridMultilevel"/>
    <w:tmpl w:val="9DFE9FE0"/>
    <w:lvl w:ilvl="0" w:tplc="3750880E">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4DC20AF"/>
    <w:multiLevelType w:val="hybridMultilevel"/>
    <w:tmpl w:val="459825C6"/>
    <w:lvl w:ilvl="0" w:tplc="3750880E">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5327DDF"/>
    <w:multiLevelType w:val="hybridMultilevel"/>
    <w:tmpl w:val="43E8A88A"/>
    <w:lvl w:ilvl="0" w:tplc="0CCEB8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D83C3F"/>
    <w:multiLevelType w:val="hybridMultilevel"/>
    <w:tmpl w:val="63C874B2"/>
    <w:lvl w:ilvl="0" w:tplc="375088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93268CE"/>
    <w:multiLevelType w:val="hybridMultilevel"/>
    <w:tmpl w:val="3140D022"/>
    <w:lvl w:ilvl="0" w:tplc="5D7CC45A">
      <w:start w:val="1"/>
      <w:numFmt w:val="bullet"/>
      <w:lvlText w:val="-"/>
      <w:lvlJc w:val="left"/>
      <w:pPr>
        <w:ind w:left="720" w:hanging="360"/>
      </w:pPr>
      <w:rPr>
        <w:rFonts w:ascii="Calibri" w:hAnsi="Calibri" w:hint="default"/>
      </w:rPr>
    </w:lvl>
    <w:lvl w:ilvl="1" w:tplc="61207F8A">
      <w:start w:val="1"/>
      <w:numFmt w:val="bullet"/>
      <w:lvlText w:val="o"/>
      <w:lvlJc w:val="left"/>
      <w:pPr>
        <w:ind w:left="1440" w:hanging="360"/>
      </w:pPr>
      <w:rPr>
        <w:rFonts w:ascii="Courier New" w:hAnsi="Courier New" w:hint="default"/>
      </w:rPr>
    </w:lvl>
    <w:lvl w:ilvl="2" w:tplc="557E4ED0">
      <w:start w:val="1"/>
      <w:numFmt w:val="bullet"/>
      <w:lvlText w:val=""/>
      <w:lvlJc w:val="left"/>
      <w:pPr>
        <w:ind w:left="2160" w:hanging="360"/>
      </w:pPr>
      <w:rPr>
        <w:rFonts w:ascii="Wingdings" w:hAnsi="Wingdings" w:hint="default"/>
      </w:rPr>
    </w:lvl>
    <w:lvl w:ilvl="3" w:tplc="E856D026">
      <w:start w:val="1"/>
      <w:numFmt w:val="bullet"/>
      <w:lvlText w:val=""/>
      <w:lvlJc w:val="left"/>
      <w:pPr>
        <w:ind w:left="2880" w:hanging="360"/>
      </w:pPr>
      <w:rPr>
        <w:rFonts w:ascii="Symbol" w:hAnsi="Symbol" w:hint="default"/>
      </w:rPr>
    </w:lvl>
    <w:lvl w:ilvl="4" w:tplc="D19CF162">
      <w:start w:val="1"/>
      <w:numFmt w:val="bullet"/>
      <w:lvlText w:val="o"/>
      <w:lvlJc w:val="left"/>
      <w:pPr>
        <w:ind w:left="3600" w:hanging="360"/>
      </w:pPr>
      <w:rPr>
        <w:rFonts w:ascii="Courier New" w:hAnsi="Courier New" w:hint="default"/>
      </w:rPr>
    </w:lvl>
    <w:lvl w:ilvl="5" w:tplc="FA649BA4">
      <w:start w:val="1"/>
      <w:numFmt w:val="bullet"/>
      <w:lvlText w:val=""/>
      <w:lvlJc w:val="left"/>
      <w:pPr>
        <w:ind w:left="4320" w:hanging="360"/>
      </w:pPr>
      <w:rPr>
        <w:rFonts w:ascii="Wingdings" w:hAnsi="Wingdings" w:hint="default"/>
      </w:rPr>
    </w:lvl>
    <w:lvl w:ilvl="6" w:tplc="82268990">
      <w:start w:val="1"/>
      <w:numFmt w:val="bullet"/>
      <w:lvlText w:val=""/>
      <w:lvlJc w:val="left"/>
      <w:pPr>
        <w:ind w:left="5040" w:hanging="360"/>
      </w:pPr>
      <w:rPr>
        <w:rFonts w:ascii="Symbol" w:hAnsi="Symbol" w:hint="default"/>
      </w:rPr>
    </w:lvl>
    <w:lvl w:ilvl="7" w:tplc="BD00287A">
      <w:start w:val="1"/>
      <w:numFmt w:val="bullet"/>
      <w:lvlText w:val="o"/>
      <w:lvlJc w:val="left"/>
      <w:pPr>
        <w:ind w:left="5760" w:hanging="360"/>
      </w:pPr>
      <w:rPr>
        <w:rFonts w:ascii="Courier New" w:hAnsi="Courier New" w:hint="default"/>
      </w:rPr>
    </w:lvl>
    <w:lvl w:ilvl="8" w:tplc="423AFB98">
      <w:start w:val="1"/>
      <w:numFmt w:val="bullet"/>
      <w:lvlText w:val=""/>
      <w:lvlJc w:val="left"/>
      <w:pPr>
        <w:ind w:left="6480" w:hanging="360"/>
      </w:pPr>
      <w:rPr>
        <w:rFonts w:ascii="Wingdings" w:hAnsi="Wingdings" w:hint="default"/>
      </w:rPr>
    </w:lvl>
  </w:abstractNum>
  <w:abstractNum w:abstractNumId="32" w15:restartNumberingAfterBreak="0">
    <w:nsid w:val="694C5461"/>
    <w:multiLevelType w:val="hybridMultilevel"/>
    <w:tmpl w:val="C94264D8"/>
    <w:lvl w:ilvl="0" w:tplc="3750880E">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A48242F"/>
    <w:multiLevelType w:val="hybridMultilevel"/>
    <w:tmpl w:val="21BC7400"/>
    <w:lvl w:ilvl="0" w:tplc="0C0C000F">
      <w:start w:val="1"/>
      <w:numFmt w:val="decimal"/>
      <w:lvlText w:val="%1."/>
      <w:lvlJc w:val="left"/>
      <w:pPr>
        <w:ind w:left="360" w:hanging="360"/>
      </w:pPr>
    </w:lvl>
    <w:lvl w:ilvl="1" w:tplc="C7B28010">
      <w:start w:val="1"/>
      <w:numFmt w:val="decimal"/>
      <w:lvlText w:val="%2)"/>
      <w:lvlJc w:val="left"/>
      <w:pPr>
        <w:ind w:left="1080" w:hanging="360"/>
      </w:pPr>
      <w:rPr>
        <w:rFont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6D5D52EC"/>
    <w:multiLevelType w:val="hybridMultilevel"/>
    <w:tmpl w:val="D6E00CA4"/>
    <w:lvl w:ilvl="0" w:tplc="3750880E">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6DD9771B"/>
    <w:multiLevelType w:val="hybridMultilevel"/>
    <w:tmpl w:val="2E1092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F5A327B"/>
    <w:multiLevelType w:val="multilevel"/>
    <w:tmpl w:val="0C0C0025"/>
    <w:lvl w:ilvl="0">
      <w:start w:val="1"/>
      <w:numFmt w:val="decimal"/>
      <w:pStyle w:val="Titre11"/>
      <w:lvlText w:val="%1"/>
      <w:lvlJc w:val="left"/>
      <w:pPr>
        <w:ind w:left="432" w:hanging="432"/>
      </w:pPr>
    </w:lvl>
    <w:lvl w:ilvl="1">
      <w:start w:val="1"/>
      <w:numFmt w:val="decimal"/>
      <w:pStyle w:val="Titre21"/>
      <w:lvlText w:val="%1.%2"/>
      <w:lvlJc w:val="left"/>
      <w:pPr>
        <w:ind w:left="576" w:hanging="576"/>
      </w:pPr>
    </w:lvl>
    <w:lvl w:ilvl="2">
      <w:start w:val="1"/>
      <w:numFmt w:val="decimal"/>
      <w:pStyle w:val="Titre31"/>
      <w:lvlText w:val="%1.%2.%3"/>
      <w:lvlJc w:val="left"/>
      <w:pPr>
        <w:ind w:left="720" w:hanging="720"/>
      </w:pPr>
    </w:lvl>
    <w:lvl w:ilvl="3">
      <w:start w:val="1"/>
      <w:numFmt w:val="decimal"/>
      <w:pStyle w:val="Titre41"/>
      <w:lvlText w:val="%1.%2.%3.%4"/>
      <w:lvlJc w:val="left"/>
      <w:pPr>
        <w:ind w:left="864" w:hanging="864"/>
      </w:pPr>
    </w:lvl>
    <w:lvl w:ilvl="4">
      <w:start w:val="1"/>
      <w:numFmt w:val="decimal"/>
      <w:pStyle w:val="Titre51"/>
      <w:lvlText w:val="%1.%2.%3.%4.%5"/>
      <w:lvlJc w:val="left"/>
      <w:pPr>
        <w:ind w:left="1008" w:hanging="1008"/>
      </w:pPr>
    </w:lvl>
    <w:lvl w:ilvl="5">
      <w:start w:val="1"/>
      <w:numFmt w:val="decimal"/>
      <w:pStyle w:val="Titre61"/>
      <w:lvlText w:val="%1.%2.%3.%4.%5.%6"/>
      <w:lvlJc w:val="left"/>
      <w:pPr>
        <w:ind w:left="1152" w:hanging="1152"/>
      </w:pPr>
    </w:lvl>
    <w:lvl w:ilvl="6">
      <w:start w:val="1"/>
      <w:numFmt w:val="decimal"/>
      <w:pStyle w:val="Titre71"/>
      <w:lvlText w:val="%1.%2.%3.%4.%5.%6.%7"/>
      <w:lvlJc w:val="left"/>
      <w:pPr>
        <w:ind w:left="1296" w:hanging="1296"/>
      </w:pPr>
    </w:lvl>
    <w:lvl w:ilvl="7">
      <w:start w:val="1"/>
      <w:numFmt w:val="decimal"/>
      <w:pStyle w:val="Titre81"/>
      <w:lvlText w:val="%1.%2.%3.%4.%5.%6.%7.%8"/>
      <w:lvlJc w:val="left"/>
      <w:pPr>
        <w:ind w:left="1440" w:hanging="1440"/>
      </w:pPr>
    </w:lvl>
    <w:lvl w:ilvl="8">
      <w:start w:val="1"/>
      <w:numFmt w:val="decimal"/>
      <w:pStyle w:val="Titre91"/>
      <w:lvlText w:val="%1.%2.%3.%4.%5.%6.%7.%8.%9"/>
      <w:lvlJc w:val="left"/>
      <w:pPr>
        <w:ind w:left="1584" w:hanging="1584"/>
      </w:pPr>
    </w:lvl>
  </w:abstractNum>
  <w:abstractNum w:abstractNumId="37" w15:restartNumberingAfterBreak="0">
    <w:nsid w:val="74842760"/>
    <w:multiLevelType w:val="hybridMultilevel"/>
    <w:tmpl w:val="1B588822"/>
    <w:lvl w:ilvl="0" w:tplc="F87087A8">
      <w:start w:val="1"/>
      <w:numFmt w:val="bullet"/>
      <w:lvlText w:val="-"/>
      <w:lvlJc w:val="left"/>
      <w:pPr>
        <w:ind w:left="720" w:hanging="360"/>
      </w:pPr>
      <w:rPr>
        <w:rFonts w:ascii="Calibri" w:hAnsi="Calibri" w:hint="default"/>
      </w:rPr>
    </w:lvl>
    <w:lvl w:ilvl="1" w:tplc="99A84904">
      <w:start w:val="1"/>
      <w:numFmt w:val="bullet"/>
      <w:lvlText w:val="o"/>
      <w:lvlJc w:val="left"/>
      <w:pPr>
        <w:ind w:left="1440" w:hanging="360"/>
      </w:pPr>
      <w:rPr>
        <w:rFonts w:ascii="Courier New" w:hAnsi="Courier New" w:hint="default"/>
      </w:rPr>
    </w:lvl>
    <w:lvl w:ilvl="2" w:tplc="B63EDCD2">
      <w:start w:val="1"/>
      <w:numFmt w:val="bullet"/>
      <w:lvlText w:val=""/>
      <w:lvlJc w:val="left"/>
      <w:pPr>
        <w:ind w:left="2160" w:hanging="360"/>
      </w:pPr>
      <w:rPr>
        <w:rFonts w:ascii="Wingdings" w:hAnsi="Wingdings" w:hint="default"/>
      </w:rPr>
    </w:lvl>
    <w:lvl w:ilvl="3" w:tplc="F02C6A34">
      <w:start w:val="1"/>
      <w:numFmt w:val="bullet"/>
      <w:lvlText w:val=""/>
      <w:lvlJc w:val="left"/>
      <w:pPr>
        <w:ind w:left="2880" w:hanging="360"/>
      </w:pPr>
      <w:rPr>
        <w:rFonts w:ascii="Symbol" w:hAnsi="Symbol" w:hint="default"/>
      </w:rPr>
    </w:lvl>
    <w:lvl w:ilvl="4" w:tplc="E3107E86">
      <w:start w:val="1"/>
      <w:numFmt w:val="bullet"/>
      <w:lvlText w:val="o"/>
      <w:lvlJc w:val="left"/>
      <w:pPr>
        <w:ind w:left="3600" w:hanging="360"/>
      </w:pPr>
      <w:rPr>
        <w:rFonts w:ascii="Courier New" w:hAnsi="Courier New" w:hint="default"/>
      </w:rPr>
    </w:lvl>
    <w:lvl w:ilvl="5" w:tplc="674AFF8C">
      <w:start w:val="1"/>
      <w:numFmt w:val="bullet"/>
      <w:lvlText w:val=""/>
      <w:lvlJc w:val="left"/>
      <w:pPr>
        <w:ind w:left="4320" w:hanging="360"/>
      </w:pPr>
      <w:rPr>
        <w:rFonts w:ascii="Wingdings" w:hAnsi="Wingdings" w:hint="default"/>
      </w:rPr>
    </w:lvl>
    <w:lvl w:ilvl="6" w:tplc="250A3D82">
      <w:start w:val="1"/>
      <w:numFmt w:val="bullet"/>
      <w:lvlText w:val=""/>
      <w:lvlJc w:val="left"/>
      <w:pPr>
        <w:ind w:left="5040" w:hanging="360"/>
      </w:pPr>
      <w:rPr>
        <w:rFonts w:ascii="Symbol" w:hAnsi="Symbol" w:hint="default"/>
      </w:rPr>
    </w:lvl>
    <w:lvl w:ilvl="7" w:tplc="FE7C992A">
      <w:start w:val="1"/>
      <w:numFmt w:val="bullet"/>
      <w:lvlText w:val="o"/>
      <w:lvlJc w:val="left"/>
      <w:pPr>
        <w:ind w:left="5760" w:hanging="360"/>
      </w:pPr>
      <w:rPr>
        <w:rFonts w:ascii="Courier New" w:hAnsi="Courier New" w:hint="default"/>
      </w:rPr>
    </w:lvl>
    <w:lvl w:ilvl="8" w:tplc="8B18B9E2">
      <w:start w:val="1"/>
      <w:numFmt w:val="bullet"/>
      <w:lvlText w:val=""/>
      <w:lvlJc w:val="left"/>
      <w:pPr>
        <w:ind w:left="6480" w:hanging="360"/>
      </w:pPr>
      <w:rPr>
        <w:rFonts w:ascii="Wingdings" w:hAnsi="Wingdings" w:hint="default"/>
      </w:rPr>
    </w:lvl>
  </w:abstractNum>
  <w:abstractNum w:abstractNumId="38" w15:restartNumberingAfterBreak="0">
    <w:nsid w:val="78A51C52"/>
    <w:multiLevelType w:val="hybridMultilevel"/>
    <w:tmpl w:val="56C2AC62"/>
    <w:lvl w:ilvl="0" w:tplc="E0FCA00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A2071E3"/>
    <w:multiLevelType w:val="hybridMultilevel"/>
    <w:tmpl w:val="C9A694EC"/>
    <w:lvl w:ilvl="0" w:tplc="9EA80D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E500D5A"/>
    <w:multiLevelType w:val="hybridMultilevel"/>
    <w:tmpl w:val="B6D0BCD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7FF774AD"/>
    <w:multiLevelType w:val="hybridMultilevel"/>
    <w:tmpl w:val="AB92A69A"/>
    <w:lvl w:ilvl="0" w:tplc="1D140080">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35753870">
    <w:abstractNumId w:val="0"/>
  </w:num>
  <w:num w:numId="2" w16cid:durableId="1014842057">
    <w:abstractNumId w:val="16"/>
  </w:num>
  <w:num w:numId="3" w16cid:durableId="230166219">
    <w:abstractNumId w:val="2"/>
  </w:num>
  <w:num w:numId="4" w16cid:durableId="991375436">
    <w:abstractNumId w:val="37"/>
  </w:num>
  <w:num w:numId="5" w16cid:durableId="189221591">
    <w:abstractNumId w:val="31"/>
  </w:num>
  <w:num w:numId="6" w16cid:durableId="494228443">
    <w:abstractNumId w:val="22"/>
  </w:num>
  <w:num w:numId="7" w16cid:durableId="121964827">
    <w:abstractNumId w:val="7"/>
  </w:num>
  <w:num w:numId="8" w16cid:durableId="215825017">
    <w:abstractNumId w:val="36"/>
  </w:num>
  <w:num w:numId="9" w16cid:durableId="41636031">
    <w:abstractNumId w:val="1"/>
  </w:num>
  <w:num w:numId="10" w16cid:durableId="679353785">
    <w:abstractNumId w:val="35"/>
  </w:num>
  <w:num w:numId="11" w16cid:durableId="1749231888">
    <w:abstractNumId w:val="8"/>
  </w:num>
  <w:num w:numId="12" w16cid:durableId="641539631">
    <w:abstractNumId w:val="10"/>
  </w:num>
  <w:num w:numId="13" w16cid:durableId="638803122">
    <w:abstractNumId w:val="25"/>
  </w:num>
  <w:num w:numId="14" w16cid:durableId="450629951">
    <w:abstractNumId w:val="19"/>
  </w:num>
  <w:num w:numId="15" w16cid:durableId="1735200180">
    <w:abstractNumId w:val="26"/>
  </w:num>
  <w:num w:numId="16" w16cid:durableId="1275360167">
    <w:abstractNumId w:val="12"/>
  </w:num>
  <w:num w:numId="17" w16cid:durableId="1528565793">
    <w:abstractNumId w:val="34"/>
  </w:num>
  <w:num w:numId="18" w16cid:durableId="2044746355">
    <w:abstractNumId w:val="23"/>
  </w:num>
  <w:num w:numId="19" w16cid:durableId="312225482">
    <w:abstractNumId w:val="15"/>
  </w:num>
  <w:num w:numId="20" w16cid:durableId="142939713">
    <w:abstractNumId w:val="27"/>
  </w:num>
  <w:num w:numId="21" w16cid:durableId="1688946707">
    <w:abstractNumId w:val="20"/>
  </w:num>
  <w:num w:numId="22" w16cid:durableId="348483293">
    <w:abstractNumId w:val="24"/>
  </w:num>
  <w:num w:numId="23" w16cid:durableId="1438870575">
    <w:abstractNumId w:val="5"/>
  </w:num>
  <w:num w:numId="24" w16cid:durableId="1974292554">
    <w:abstractNumId w:val="40"/>
  </w:num>
  <w:num w:numId="25" w16cid:durableId="1420367152">
    <w:abstractNumId w:val="3"/>
  </w:num>
  <w:num w:numId="26" w16cid:durableId="1246377719">
    <w:abstractNumId w:val="33"/>
  </w:num>
  <w:num w:numId="27" w16cid:durableId="1687320316">
    <w:abstractNumId w:val="38"/>
  </w:num>
  <w:num w:numId="28" w16cid:durableId="1512530428">
    <w:abstractNumId w:val="21"/>
  </w:num>
  <w:num w:numId="29" w16cid:durableId="1971402679">
    <w:abstractNumId w:val="9"/>
  </w:num>
  <w:num w:numId="30" w16cid:durableId="373312158">
    <w:abstractNumId w:val="32"/>
  </w:num>
  <w:num w:numId="31" w16cid:durableId="1286349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34073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63909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2345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13226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99873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3819365">
    <w:abstractNumId w:val="4"/>
  </w:num>
  <w:num w:numId="38" w16cid:durableId="485516167">
    <w:abstractNumId w:val="41"/>
  </w:num>
  <w:num w:numId="39" w16cid:durableId="1833373446">
    <w:abstractNumId w:val="11"/>
  </w:num>
  <w:num w:numId="40" w16cid:durableId="563879830">
    <w:abstractNumId w:val="6"/>
  </w:num>
  <w:num w:numId="41" w16cid:durableId="2100715957">
    <w:abstractNumId w:val="30"/>
  </w:num>
  <w:num w:numId="42" w16cid:durableId="18460911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51"/>
    <w:rsid w:val="00000F3C"/>
    <w:rsid w:val="00001025"/>
    <w:rsid w:val="00003F6B"/>
    <w:rsid w:val="00004C59"/>
    <w:rsid w:val="00007E6A"/>
    <w:rsid w:val="00010B23"/>
    <w:rsid w:val="000119C1"/>
    <w:rsid w:val="00013F53"/>
    <w:rsid w:val="0001524F"/>
    <w:rsid w:val="00015D10"/>
    <w:rsid w:val="00015EE8"/>
    <w:rsid w:val="00017726"/>
    <w:rsid w:val="00017A10"/>
    <w:rsid w:val="000336DA"/>
    <w:rsid w:val="00035816"/>
    <w:rsid w:val="00036672"/>
    <w:rsid w:val="00036AED"/>
    <w:rsid w:val="00036BB3"/>
    <w:rsid w:val="000403B6"/>
    <w:rsid w:val="000406A2"/>
    <w:rsid w:val="000409C5"/>
    <w:rsid w:val="00040A31"/>
    <w:rsid w:val="000417EC"/>
    <w:rsid w:val="00041F6B"/>
    <w:rsid w:val="00042762"/>
    <w:rsid w:val="00044F0B"/>
    <w:rsid w:val="00045331"/>
    <w:rsid w:val="00047743"/>
    <w:rsid w:val="00047872"/>
    <w:rsid w:val="0005080A"/>
    <w:rsid w:val="00051B05"/>
    <w:rsid w:val="000522C3"/>
    <w:rsid w:val="00052324"/>
    <w:rsid w:val="00052534"/>
    <w:rsid w:val="0005503E"/>
    <w:rsid w:val="0006112A"/>
    <w:rsid w:val="00061421"/>
    <w:rsid w:val="00061EBE"/>
    <w:rsid w:val="00061FD9"/>
    <w:rsid w:val="000654E2"/>
    <w:rsid w:val="000663D1"/>
    <w:rsid w:val="000703F8"/>
    <w:rsid w:val="00070A73"/>
    <w:rsid w:val="00072011"/>
    <w:rsid w:val="000727F5"/>
    <w:rsid w:val="0007302C"/>
    <w:rsid w:val="000737CE"/>
    <w:rsid w:val="000740AD"/>
    <w:rsid w:val="000773DC"/>
    <w:rsid w:val="00077C7F"/>
    <w:rsid w:val="00077CD0"/>
    <w:rsid w:val="00080AF1"/>
    <w:rsid w:val="00080D0E"/>
    <w:rsid w:val="00081FBA"/>
    <w:rsid w:val="00084FF2"/>
    <w:rsid w:val="000867CB"/>
    <w:rsid w:val="00086CB0"/>
    <w:rsid w:val="00087520"/>
    <w:rsid w:val="00087590"/>
    <w:rsid w:val="00090768"/>
    <w:rsid w:val="0009138A"/>
    <w:rsid w:val="00095FAB"/>
    <w:rsid w:val="000961CB"/>
    <w:rsid w:val="000973E7"/>
    <w:rsid w:val="0009783E"/>
    <w:rsid w:val="00097C6B"/>
    <w:rsid w:val="000A0941"/>
    <w:rsid w:val="000A1E2F"/>
    <w:rsid w:val="000A3CE2"/>
    <w:rsid w:val="000A5F9B"/>
    <w:rsid w:val="000B480F"/>
    <w:rsid w:val="000B5650"/>
    <w:rsid w:val="000B6B1A"/>
    <w:rsid w:val="000C0844"/>
    <w:rsid w:val="000C2BAB"/>
    <w:rsid w:val="000C2FFE"/>
    <w:rsid w:val="000C3662"/>
    <w:rsid w:val="000C40C5"/>
    <w:rsid w:val="000C4A1C"/>
    <w:rsid w:val="000C6303"/>
    <w:rsid w:val="000C6D32"/>
    <w:rsid w:val="000D14BA"/>
    <w:rsid w:val="000D5030"/>
    <w:rsid w:val="000D619B"/>
    <w:rsid w:val="000D7690"/>
    <w:rsid w:val="000E15DD"/>
    <w:rsid w:val="000E1DDA"/>
    <w:rsid w:val="000E31A9"/>
    <w:rsid w:val="000E3972"/>
    <w:rsid w:val="000E5644"/>
    <w:rsid w:val="000E6322"/>
    <w:rsid w:val="000E7D72"/>
    <w:rsid w:val="000F02CF"/>
    <w:rsid w:val="000F03D6"/>
    <w:rsid w:val="000F16A7"/>
    <w:rsid w:val="000F2B94"/>
    <w:rsid w:val="000F58E6"/>
    <w:rsid w:val="000F6F22"/>
    <w:rsid w:val="000F7E4D"/>
    <w:rsid w:val="001022CA"/>
    <w:rsid w:val="0010345B"/>
    <w:rsid w:val="00104FE8"/>
    <w:rsid w:val="00113652"/>
    <w:rsid w:val="001137EA"/>
    <w:rsid w:val="00113BBF"/>
    <w:rsid w:val="00114008"/>
    <w:rsid w:val="00114B20"/>
    <w:rsid w:val="00122B36"/>
    <w:rsid w:val="00123597"/>
    <w:rsid w:val="001242CE"/>
    <w:rsid w:val="00125CCD"/>
    <w:rsid w:val="00126316"/>
    <w:rsid w:val="00126C4E"/>
    <w:rsid w:val="0012796D"/>
    <w:rsid w:val="0013148D"/>
    <w:rsid w:val="00135F99"/>
    <w:rsid w:val="00140301"/>
    <w:rsid w:val="00140F62"/>
    <w:rsid w:val="00141913"/>
    <w:rsid w:val="00142208"/>
    <w:rsid w:val="00142D2F"/>
    <w:rsid w:val="00144055"/>
    <w:rsid w:val="00145CDA"/>
    <w:rsid w:val="00145DC1"/>
    <w:rsid w:val="00146958"/>
    <w:rsid w:val="00147FE9"/>
    <w:rsid w:val="0015012E"/>
    <w:rsid w:val="00150225"/>
    <w:rsid w:val="001548FA"/>
    <w:rsid w:val="00155553"/>
    <w:rsid w:val="00155B53"/>
    <w:rsid w:val="00155BDE"/>
    <w:rsid w:val="00156107"/>
    <w:rsid w:val="001610A2"/>
    <w:rsid w:val="00167636"/>
    <w:rsid w:val="001709DE"/>
    <w:rsid w:val="00171F2B"/>
    <w:rsid w:val="00173B88"/>
    <w:rsid w:val="00175984"/>
    <w:rsid w:val="00180AFE"/>
    <w:rsid w:val="00180E78"/>
    <w:rsid w:val="001823A9"/>
    <w:rsid w:val="001866BD"/>
    <w:rsid w:val="00191E05"/>
    <w:rsid w:val="0019388E"/>
    <w:rsid w:val="00197108"/>
    <w:rsid w:val="00197FCC"/>
    <w:rsid w:val="0019B6DF"/>
    <w:rsid w:val="001A229E"/>
    <w:rsid w:val="001A6778"/>
    <w:rsid w:val="001A698C"/>
    <w:rsid w:val="001A7865"/>
    <w:rsid w:val="001B0675"/>
    <w:rsid w:val="001B2BAA"/>
    <w:rsid w:val="001B485B"/>
    <w:rsid w:val="001B5150"/>
    <w:rsid w:val="001B51BB"/>
    <w:rsid w:val="001B53EC"/>
    <w:rsid w:val="001C18AD"/>
    <w:rsid w:val="001C411C"/>
    <w:rsid w:val="001C4F32"/>
    <w:rsid w:val="001D2700"/>
    <w:rsid w:val="001D2B10"/>
    <w:rsid w:val="001D3248"/>
    <w:rsid w:val="001D36CB"/>
    <w:rsid w:val="001D4BC1"/>
    <w:rsid w:val="001D4C06"/>
    <w:rsid w:val="001D521A"/>
    <w:rsid w:val="001D6F4E"/>
    <w:rsid w:val="001D71D6"/>
    <w:rsid w:val="001D7425"/>
    <w:rsid w:val="001E0E89"/>
    <w:rsid w:val="001E2035"/>
    <w:rsid w:val="001E3DF2"/>
    <w:rsid w:val="001E4E07"/>
    <w:rsid w:val="001E6B14"/>
    <w:rsid w:val="001E7395"/>
    <w:rsid w:val="001E7834"/>
    <w:rsid w:val="001F29F8"/>
    <w:rsid w:val="001F3A94"/>
    <w:rsid w:val="001F5960"/>
    <w:rsid w:val="001F7FB3"/>
    <w:rsid w:val="00200DAF"/>
    <w:rsid w:val="00201CB5"/>
    <w:rsid w:val="00203B5E"/>
    <w:rsid w:val="00203D51"/>
    <w:rsid w:val="00211CB5"/>
    <w:rsid w:val="002129A4"/>
    <w:rsid w:val="00216384"/>
    <w:rsid w:val="00217F4C"/>
    <w:rsid w:val="002230FF"/>
    <w:rsid w:val="002232E6"/>
    <w:rsid w:val="0022467E"/>
    <w:rsid w:val="00224C12"/>
    <w:rsid w:val="0022561E"/>
    <w:rsid w:val="00226CD5"/>
    <w:rsid w:val="00230FA4"/>
    <w:rsid w:val="00231E64"/>
    <w:rsid w:val="00233D24"/>
    <w:rsid w:val="002361A5"/>
    <w:rsid w:val="00236A9D"/>
    <w:rsid w:val="0024208C"/>
    <w:rsid w:val="00242EC7"/>
    <w:rsid w:val="0024331E"/>
    <w:rsid w:val="0024530B"/>
    <w:rsid w:val="0024654C"/>
    <w:rsid w:val="00246833"/>
    <w:rsid w:val="00250101"/>
    <w:rsid w:val="002525A8"/>
    <w:rsid w:val="0025379C"/>
    <w:rsid w:val="00253AD3"/>
    <w:rsid w:val="002543C8"/>
    <w:rsid w:val="00260638"/>
    <w:rsid w:val="00260E7A"/>
    <w:rsid w:val="00261EC6"/>
    <w:rsid w:val="00263136"/>
    <w:rsid w:val="00263819"/>
    <w:rsid w:val="00263F55"/>
    <w:rsid w:val="002645D1"/>
    <w:rsid w:val="002659CC"/>
    <w:rsid w:val="002665EA"/>
    <w:rsid w:val="00267F6B"/>
    <w:rsid w:val="00271943"/>
    <w:rsid w:val="002734C1"/>
    <w:rsid w:val="00274CED"/>
    <w:rsid w:val="00277F97"/>
    <w:rsid w:val="00283C8E"/>
    <w:rsid w:val="00285036"/>
    <w:rsid w:val="002855CC"/>
    <w:rsid w:val="00287123"/>
    <w:rsid w:val="00292393"/>
    <w:rsid w:val="00292625"/>
    <w:rsid w:val="00293B3F"/>
    <w:rsid w:val="00294443"/>
    <w:rsid w:val="002954D7"/>
    <w:rsid w:val="002958E6"/>
    <w:rsid w:val="00297F14"/>
    <w:rsid w:val="002A1409"/>
    <w:rsid w:val="002A203E"/>
    <w:rsid w:val="002A2F7D"/>
    <w:rsid w:val="002A33D6"/>
    <w:rsid w:val="002A4C99"/>
    <w:rsid w:val="002A4ED0"/>
    <w:rsid w:val="002A6DE7"/>
    <w:rsid w:val="002A7653"/>
    <w:rsid w:val="002B2F24"/>
    <w:rsid w:val="002B3DB1"/>
    <w:rsid w:val="002B6D0C"/>
    <w:rsid w:val="002B934F"/>
    <w:rsid w:val="002C00D9"/>
    <w:rsid w:val="002C1296"/>
    <w:rsid w:val="002C1CAF"/>
    <w:rsid w:val="002C2199"/>
    <w:rsid w:val="002C3CDD"/>
    <w:rsid w:val="002C4D86"/>
    <w:rsid w:val="002C7271"/>
    <w:rsid w:val="002D0BD0"/>
    <w:rsid w:val="002D1F18"/>
    <w:rsid w:val="002D581C"/>
    <w:rsid w:val="002D76D1"/>
    <w:rsid w:val="002E09C4"/>
    <w:rsid w:val="002E1F1E"/>
    <w:rsid w:val="002E2052"/>
    <w:rsid w:val="002E51DA"/>
    <w:rsid w:val="002F0BB0"/>
    <w:rsid w:val="002F29A3"/>
    <w:rsid w:val="002F3905"/>
    <w:rsid w:val="002F3ED8"/>
    <w:rsid w:val="002F4829"/>
    <w:rsid w:val="002F495F"/>
    <w:rsid w:val="002F6FB5"/>
    <w:rsid w:val="003023F6"/>
    <w:rsid w:val="00302B4E"/>
    <w:rsid w:val="0030439E"/>
    <w:rsid w:val="00304640"/>
    <w:rsid w:val="00306ADC"/>
    <w:rsid w:val="003115C8"/>
    <w:rsid w:val="003149AF"/>
    <w:rsid w:val="003158CC"/>
    <w:rsid w:val="00316B13"/>
    <w:rsid w:val="00320762"/>
    <w:rsid w:val="003218FB"/>
    <w:rsid w:val="0032199F"/>
    <w:rsid w:val="00322BC9"/>
    <w:rsid w:val="00323737"/>
    <w:rsid w:val="00324D0E"/>
    <w:rsid w:val="00325F81"/>
    <w:rsid w:val="0032924A"/>
    <w:rsid w:val="00330B01"/>
    <w:rsid w:val="00331AA9"/>
    <w:rsid w:val="00331B2D"/>
    <w:rsid w:val="00332DC3"/>
    <w:rsid w:val="00337215"/>
    <w:rsid w:val="00337D37"/>
    <w:rsid w:val="00337F97"/>
    <w:rsid w:val="003426E2"/>
    <w:rsid w:val="0034320E"/>
    <w:rsid w:val="0034379D"/>
    <w:rsid w:val="00344E6C"/>
    <w:rsid w:val="003462D5"/>
    <w:rsid w:val="00350263"/>
    <w:rsid w:val="0035080A"/>
    <w:rsid w:val="003518C9"/>
    <w:rsid w:val="00351B25"/>
    <w:rsid w:val="00355B54"/>
    <w:rsid w:val="00355FD4"/>
    <w:rsid w:val="00356207"/>
    <w:rsid w:val="00356346"/>
    <w:rsid w:val="003611E6"/>
    <w:rsid w:val="003617F8"/>
    <w:rsid w:val="00361958"/>
    <w:rsid w:val="00363569"/>
    <w:rsid w:val="00363634"/>
    <w:rsid w:val="003647EC"/>
    <w:rsid w:val="003711AF"/>
    <w:rsid w:val="00376309"/>
    <w:rsid w:val="003775FC"/>
    <w:rsid w:val="00377673"/>
    <w:rsid w:val="003815C9"/>
    <w:rsid w:val="00381A8A"/>
    <w:rsid w:val="00381D85"/>
    <w:rsid w:val="00382669"/>
    <w:rsid w:val="003826C8"/>
    <w:rsid w:val="00383E9D"/>
    <w:rsid w:val="003850DB"/>
    <w:rsid w:val="00385D2E"/>
    <w:rsid w:val="00386D80"/>
    <w:rsid w:val="00393E0B"/>
    <w:rsid w:val="00394B9F"/>
    <w:rsid w:val="00395124"/>
    <w:rsid w:val="00395A19"/>
    <w:rsid w:val="003971D1"/>
    <w:rsid w:val="00397B41"/>
    <w:rsid w:val="00397C89"/>
    <w:rsid w:val="003A20FF"/>
    <w:rsid w:val="003A26AA"/>
    <w:rsid w:val="003A40FE"/>
    <w:rsid w:val="003A5292"/>
    <w:rsid w:val="003A6C13"/>
    <w:rsid w:val="003A709A"/>
    <w:rsid w:val="003A75E7"/>
    <w:rsid w:val="003B0E77"/>
    <w:rsid w:val="003B1FB9"/>
    <w:rsid w:val="003B2F21"/>
    <w:rsid w:val="003B57F7"/>
    <w:rsid w:val="003B7E82"/>
    <w:rsid w:val="003C04CA"/>
    <w:rsid w:val="003C1CA1"/>
    <w:rsid w:val="003C2080"/>
    <w:rsid w:val="003C22BD"/>
    <w:rsid w:val="003C2EC7"/>
    <w:rsid w:val="003C3ABF"/>
    <w:rsid w:val="003C4006"/>
    <w:rsid w:val="003C4803"/>
    <w:rsid w:val="003C4BB6"/>
    <w:rsid w:val="003C4DFD"/>
    <w:rsid w:val="003D214E"/>
    <w:rsid w:val="003D3A03"/>
    <w:rsid w:val="003D6711"/>
    <w:rsid w:val="003E44CD"/>
    <w:rsid w:val="003F0877"/>
    <w:rsid w:val="003F3348"/>
    <w:rsid w:val="003F486D"/>
    <w:rsid w:val="003F5B66"/>
    <w:rsid w:val="003F7207"/>
    <w:rsid w:val="00401EC9"/>
    <w:rsid w:val="004024C0"/>
    <w:rsid w:val="004049D3"/>
    <w:rsid w:val="00405433"/>
    <w:rsid w:val="0040747B"/>
    <w:rsid w:val="004102BF"/>
    <w:rsid w:val="004107EE"/>
    <w:rsid w:val="00411B3C"/>
    <w:rsid w:val="00412AB3"/>
    <w:rsid w:val="0041446D"/>
    <w:rsid w:val="00415694"/>
    <w:rsid w:val="00415D65"/>
    <w:rsid w:val="00415DA2"/>
    <w:rsid w:val="0041608C"/>
    <w:rsid w:val="00420802"/>
    <w:rsid w:val="00421C25"/>
    <w:rsid w:val="0042338B"/>
    <w:rsid w:val="004244CD"/>
    <w:rsid w:val="00431A70"/>
    <w:rsid w:val="00431AEC"/>
    <w:rsid w:val="00432445"/>
    <w:rsid w:val="0043394B"/>
    <w:rsid w:val="00434747"/>
    <w:rsid w:val="00435A3F"/>
    <w:rsid w:val="00435C9F"/>
    <w:rsid w:val="004370C3"/>
    <w:rsid w:val="004407C1"/>
    <w:rsid w:val="00441251"/>
    <w:rsid w:val="00442DD6"/>
    <w:rsid w:val="00442FD6"/>
    <w:rsid w:val="00443EA8"/>
    <w:rsid w:val="00447707"/>
    <w:rsid w:val="004507A3"/>
    <w:rsid w:val="004529B8"/>
    <w:rsid w:val="00452AAD"/>
    <w:rsid w:val="00452B2D"/>
    <w:rsid w:val="00453A99"/>
    <w:rsid w:val="0045515F"/>
    <w:rsid w:val="00455A69"/>
    <w:rsid w:val="00457AC4"/>
    <w:rsid w:val="00460DF6"/>
    <w:rsid w:val="00462DFB"/>
    <w:rsid w:val="00463C77"/>
    <w:rsid w:val="0046407B"/>
    <w:rsid w:val="00464FF8"/>
    <w:rsid w:val="00466226"/>
    <w:rsid w:val="0046700B"/>
    <w:rsid w:val="00467639"/>
    <w:rsid w:val="0046769C"/>
    <w:rsid w:val="004677FF"/>
    <w:rsid w:val="00470257"/>
    <w:rsid w:val="00470E4B"/>
    <w:rsid w:val="00471F78"/>
    <w:rsid w:val="00473875"/>
    <w:rsid w:val="00474DA1"/>
    <w:rsid w:val="00474ECC"/>
    <w:rsid w:val="00481BB2"/>
    <w:rsid w:val="00486CCF"/>
    <w:rsid w:val="00490C7B"/>
    <w:rsid w:val="0049129A"/>
    <w:rsid w:val="00492E68"/>
    <w:rsid w:val="00493082"/>
    <w:rsid w:val="00493B2E"/>
    <w:rsid w:val="004A1BB6"/>
    <w:rsid w:val="004A26B0"/>
    <w:rsid w:val="004A2E38"/>
    <w:rsid w:val="004A2E74"/>
    <w:rsid w:val="004A32CF"/>
    <w:rsid w:val="004A4784"/>
    <w:rsid w:val="004A5C23"/>
    <w:rsid w:val="004A6A69"/>
    <w:rsid w:val="004B3AE8"/>
    <w:rsid w:val="004B5921"/>
    <w:rsid w:val="004B75D0"/>
    <w:rsid w:val="004C2986"/>
    <w:rsid w:val="004C314A"/>
    <w:rsid w:val="004C5ECD"/>
    <w:rsid w:val="004C6CBC"/>
    <w:rsid w:val="004C6D3B"/>
    <w:rsid w:val="004C7279"/>
    <w:rsid w:val="004D1096"/>
    <w:rsid w:val="004D16E7"/>
    <w:rsid w:val="004D1C73"/>
    <w:rsid w:val="004D31A8"/>
    <w:rsid w:val="004D3351"/>
    <w:rsid w:val="004E3F4A"/>
    <w:rsid w:val="004E404F"/>
    <w:rsid w:val="004E45A6"/>
    <w:rsid w:val="004E600A"/>
    <w:rsid w:val="004F200C"/>
    <w:rsid w:val="004F23F8"/>
    <w:rsid w:val="004F5E27"/>
    <w:rsid w:val="004F607E"/>
    <w:rsid w:val="004F7A63"/>
    <w:rsid w:val="00500BCC"/>
    <w:rsid w:val="00501233"/>
    <w:rsid w:val="005022FE"/>
    <w:rsid w:val="00504AC8"/>
    <w:rsid w:val="005119FD"/>
    <w:rsid w:val="00512F6C"/>
    <w:rsid w:val="00513AE0"/>
    <w:rsid w:val="00514723"/>
    <w:rsid w:val="00514AF3"/>
    <w:rsid w:val="00521BF7"/>
    <w:rsid w:val="0052486C"/>
    <w:rsid w:val="00527146"/>
    <w:rsid w:val="00531753"/>
    <w:rsid w:val="0053277F"/>
    <w:rsid w:val="0053388E"/>
    <w:rsid w:val="005372E9"/>
    <w:rsid w:val="00537792"/>
    <w:rsid w:val="0054052B"/>
    <w:rsid w:val="00541CA4"/>
    <w:rsid w:val="00542F83"/>
    <w:rsid w:val="005430F4"/>
    <w:rsid w:val="0054411A"/>
    <w:rsid w:val="0054425E"/>
    <w:rsid w:val="00545C10"/>
    <w:rsid w:val="0054729E"/>
    <w:rsid w:val="0055137E"/>
    <w:rsid w:val="005521BB"/>
    <w:rsid w:val="00555025"/>
    <w:rsid w:val="0055611C"/>
    <w:rsid w:val="0055622B"/>
    <w:rsid w:val="00556CD1"/>
    <w:rsid w:val="00557639"/>
    <w:rsid w:val="0056155C"/>
    <w:rsid w:val="00562FEE"/>
    <w:rsid w:val="005635ED"/>
    <w:rsid w:val="00564788"/>
    <w:rsid w:val="0056752D"/>
    <w:rsid w:val="00570105"/>
    <w:rsid w:val="0057190F"/>
    <w:rsid w:val="00571E3F"/>
    <w:rsid w:val="00574057"/>
    <w:rsid w:val="00574A68"/>
    <w:rsid w:val="00581197"/>
    <w:rsid w:val="00583E83"/>
    <w:rsid w:val="005870CC"/>
    <w:rsid w:val="00594FB0"/>
    <w:rsid w:val="0059600F"/>
    <w:rsid w:val="005A0BC6"/>
    <w:rsid w:val="005A187D"/>
    <w:rsid w:val="005A2971"/>
    <w:rsid w:val="005A4F88"/>
    <w:rsid w:val="005A6B42"/>
    <w:rsid w:val="005A7F06"/>
    <w:rsid w:val="005B0D1D"/>
    <w:rsid w:val="005B6F91"/>
    <w:rsid w:val="005B790A"/>
    <w:rsid w:val="005B7E07"/>
    <w:rsid w:val="005B7FC7"/>
    <w:rsid w:val="005C4197"/>
    <w:rsid w:val="005C66DD"/>
    <w:rsid w:val="005C7BCC"/>
    <w:rsid w:val="005CFD4D"/>
    <w:rsid w:val="005D174F"/>
    <w:rsid w:val="005D5584"/>
    <w:rsid w:val="005D68A6"/>
    <w:rsid w:val="005D796A"/>
    <w:rsid w:val="005D796D"/>
    <w:rsid w:val="005E34FF"/>
    <w:rsid w:val="005E4D60"/>
    <w:rsid w:val="005E6EDC"/>
    <w:rsid w:val="005E7E11"/>
    <w:rsid w:val="005F2A4E"/>
    <w:rsid w:val="005F3336"/>
    <w:rsid w:val="005F36B6"/>
    <w:rsid w:val="005F3F81"/>
    <w:rsid w:val="005F4342"/>
    <w:rsid w:val="005F607A"/>
    <w:rsid w:val="005F7D51"/>
    <w:rsid w:val="00600F81"/>
    <w:rsid w:val="006011BC"/>
    <w:rsid w:val="00602368"/>
    <w:rsid w:val="006059EB"/>
    <w:rsid w:val="00607A24"/>
    <w:rsid w:val="00607C49"/>
    <w:rsid w:val="00607D79"/>
    <w:rsid w:val="00610D75"/>
    <w:rsid w:val="006121D7"/>
    <w:rsid w:val="0061315F"/>
    <w:rsid w:val="00613DFC"/>
    <w:rsid w:val="00616136"/>
    <w:rsid w:val="00620326"/>
    <w:rsid w:val="006252A2"/>
    <w:rsid w:val="006266FB"/>
    <w:rsid w:val="006275B1"/>
    <w:rsid w:val="00627907"/>
    <w:rsid w:val="00627F7F"/>
    <w:rsid w:val="00633D26"/>
    <w:rsid w:val="0063427D"/>
    <w:rsid w:val="00636A3B"/>
    <w:rsid w:val="00640719"/>
    <w:rsid w:val="00640F86"/>
    <w:rsid w:val="006414DA"/>
    <w:rsid w:val="00641960"/>
    <w:rsid w:val="00642A77"/>
    <w:rsid w:val="00642E94"/>
    <w:rsid w:val="00643590"/>
    <w:rsid w:val="006435D3"/>
    <w:rsid w:val="00643C37"/>
    <w:rsid w:val="0064617C"/>
    <w:rsid w:val="0064674A"/>
    <w:rsid w:val="00652453"/>
    <w:rsid w:val="00661115"/>
    <w:rsid w:val="00661411"/>
    <w:rsid w:val="00661473"/>
    <w:rsid w:val="00661C8B"/>
    <w:rsid w:val="00661DBB"/>
    <w:rsid w:val="006633EA"/>
    <w:rsid w:val="006646D1"/>
    <w:rsid w:val="006662B7"/>
    <w:rsid w:val="00673D16"/>
    <w:rsid w:val="00674031"/>
    <w:rsid w:val="00675223"/>
    <w:rsid w:val="006817CD"/>
    <w:rsid w:val="00682568"/>
    <w:rsid w:val="00683077"/>
    <w:rsid w:val="0068664E"/>
    <w:rsid w:val="00686EAB"/>
    <w:rsid w:val="006873F2"/>
    <w:rsid w:val="0069091D"/>
    <w:rsid w:val="00697264"/>
    <w:rsid w:val="0069786E"/>
    <w:rsid w:val="006A3A05"/>
    <w:rsid w:val="006A492A"/>
    <w:rsid w:val="006B10B9"/>
    <w:rsid w:val="006B20CB"/>
    <w:rsid w:val="006B4176"/>
    <w:rsid w:val="006B48FE"/>
    <w:rsid w:val="006B4B90"/>
    <w:rsid w:val="006B51FB"/>
    <w:rsid w:val="006B5A55"/>
    <w:rsid w:val="006B7935"/>
    <w:rsid w:val="006B7A65"/>
    <w:rsid w:val="006C0A89"/>
    <w:rsid w:val="006C25A8"/>
    <w:rsid w:val="006C3D28"/>
    <w:rsid w:val="006C4C61"/>
    <w:rsid w:val="006D39E3"/>
    <w:rsid w:val="006E0858"/>
    <w:rsid w:val="006E3F94"/>
    <w:rsid w:val="006E7CB7"/>
    <w:rsid w:val="006F412C"/>
    <w:rsid w:val="00705906"/>
    <w:rsid w:val="00705CA4"/>
    <w:rsid w:val="00706EEF"/>
    <w:rsid w:val="00707D2C"/>
    <w:rsid w:val="00707EB4"/>
    <w:rsid w:val="00707FBD"/>
    <w:rsid w:val="007118BB"/>
    <w:rsid w:val="00712AD3"/>
    <w:rsid w:val="007140D9"/>
    <w:rsid w:val="00716E60"/>
    <w:rsid w:val="007179EF"/>
    <w:rsid w:val="0072064A"/>
    <w:rsid w:val="007206A7"/>
    <w:rsid w:val="0072105B"/>
    <w:rsid w:val="007221E9"/>
    <w:rsid w:val="0072240B"/>
    <w:rsid w:val="007231A4"/>
    <w:rsid w:val="00724286"/>
    <w:rsid w:val="00737368"/>
    <w:rsid w:val="00740150"/>
    <w:rsid w:val="00740D5E"/>
    <w:rsid w:val="00744ABE"/>
    <w:rsid w:val="00745D00"/>
    <w:rsid w:val="007504D4"/>
    <w:rsid w:val="007505BC"/>
    <w:rsid w:val="0075365E"/>
    <w:rsid w:val="00756F5C"/>
    <w:rsid w:val="00761326"/>
    <w:rsid w:val="00761C93"/>
    <w:rsid w:val="00762BC8"/>
    <w:rsid w:val="007650CB"/>
    <w:rsid w:val="00767A6F"/>
    <w:rsid w:val="007703D5"/>
    <w:rsid w:val="00772744"/>
    <w:rsid w:val="00772A25"/>
    <w:rsid w:val="00775419"/>
    <w:rsid w:val="00775B0A"/>
    <w:rsid w:val="007763AF"/>
    <w:rsid w:val="00777E74"/>
    <w:rsid w:val="00780A60"/>
    <w:rsid w:val="00780CCE"/>
    <w:rsid w:val="00783AC5"/>
    <w:rsid w:val="0078533B"/>
    <w:rsid w:val="007864F8"/>
    <w:rsid w:val="00787BDF"/>
    <w:rsid w:val="00790D1A"/>
    <w:rsid w:val="00791C99"/>
    <w:rsid w:val="00791F69"/>
    <w:rsid w:val="00793D70"/>
    <w:rsid w:val="00795A1C"/>
    <w:rsid w:val="00797FF9"/>
    <w:rsid w:val="007A2E63"/>
    <w:rsid w:val="007A2EAE"/>
    <w:rsid w:val="007A4623"/>
    <w:rsid w:val="007A5E06"/>
    <w:rsid w:val="007A6A37"/>
    <w:rsid w:val="007A78E0"/>
    <w:rsid w:val="007A7911"/>
    <w:rsid w:val="007A79D8"/>
    <w:rsid w:val="007B0A83"/>
    <w:rsid w:val="007B0FC9"/>
    <w:rsid w:val="007B283C"/>
    <w:rsid w:val="007B7791"/>
    <w:rsid w:val="007B7E31"/>
    <w:rsid w:val="007C58A2"/>
    <w:rsid w:val="007C66B6"/>
    <w:rsid w:val="007C69CA"/>
    <w:rsid w:val="007D0008"/>
    <w:rsid w:val="007D26A3"/>
    <w:rsid w:val="007D38AA"/>
    <w:rsid w:val="007D681B"/>
    <w:rsid w:val="007E0FA5"/>
    <w:rsid w:val="007E156A"/>
    <w:rsid w:val="007E3A05"/>
    <w:rsid w:val="007E45C0"/>
    <w:rsid w:val="007E5923"/>
    <w:rsid w:val="007E7738"/>
    <w:rsid w:val="007F2419"/>
    <w:rsid w:val="007F3A20"/>
    <w:rsid w:val="007F4460"/>
    <w:rsid w:val="007F5E5A"/>
    <w:rsid w:val="00800368"/>
    <w:rsid w:val="00804FBB"/>
    <w:rsid w:val="0080514F"/>
    <w:rsid w:val="00806E46"/>
    <w:rsid w:val="00807F68"/>
    <w:rsid w:val="0081021C"/>
    <w:rsid w:val="00811DF4"/>
    <w:rsid w:val="008135A4"/>
    <w:rsid w:val="0081367E"/>
    <w:rsid w:val="008146B6"/>
    <w:rsid w:val="00815447"/>
    <w:rsid w:val="00816B3A"/>
    <w:rsid w:val="0082032A"/>
    <w:rsid w:val="008227FE"/>
    <w:rsid w:val="0082418D"/>
    <w:rsid w:val="00824E52"/>
    <w:rsid w:val="0082595D"/>
    <w:rsid w:val="00830013"/>
    <w:rsid w:val="0083091B"/>
    <w:rsid w:val="00832CB2"/>
    <w:rsid w:val="00840516"/>
    <w:rsid w:val="008416DF"/>
    <w:rsid w:val="008437B6"/>
    <w:rsid w:val="008447D0"/>
    <w:rsid w:val="008468B1"/>
    <w:rsid w:val="00846A71"/>
    <w:rsid w:val="00846F48"/>
    <w:rsid w:val="008519B8"/>
    <w:rsid w:val="00852035"/>
    <w:rsid w:val="00854353"/>
    <w:rsid w:val="00855AF9"/>
    <w:rsid w:val="008563E5"/>
    <w:rsid w:val="00857F82"/>
    <w:rsid w:val="00861D4D"/>
    <w:rsid w:val="00862FF5"/>
    <w:rsid w:val="008658B8"/>
    <w:rsid w:val="00866D74"/>
    <w:rsid w:val="0087274A"/>
    <w:rsid w:val="00873A38"/>
    <w:rsid w:val="0087539E"/>
    <w:rsid w:val="0087589B"/>
    <w:rsid w:val="00877308"/>
    <w:rsid w:val="00877692"/>
    <w:rsid w:val="008807DC"/>
    <w:rsid w:val="00881D50"/>
    <w:rsid w:val="0088373B"/>
    <w:rsid w:val="008847CF"/>
    <w:rsid w:val="00887B71"/>
    <w:rsid w:val="00887D8F"/>
    <w:rsid w:val="008904BF"/>
    <w:rsid w:val="00891205"/>
    <w:rsid w:val="0089127D"/>
    <w:rsid w:val="00892549"/>
    <w:rsid w:val="00892637"/>
    <w:rsid w:val="00893316"/>
    <w:rsid w:val="00895589"/>
    <w:rsid w:val="00895F49"/>
    <w:rsid w:val="008967A9"/>
    <w:rsid w:val="008A10A1"/>
    <w:rsid w:val="008A28EC"/>
    <w:rsid w:val="008A313C"/>
    <w:rsid w:val="008A4255"/>
    <w:rsid w:val="008A5CA4"/>
    <w:rsid w:val="008A6B08"/>
    <w:rsid w:val="008B1E3C"/>
    <w:rsid w:val="008B2AEB"/>
    <w:rsid w:val="008B7790"/>
    <w:rsid w:val="008C10EF"/>
    <w:rsid w:val="008C11D1"/>
    <w:rsid w:val="008C2BDA"/>
    <w:rsid w:val="008C2E45"/>
    <w:rsid w:val="008C530A"/>
    <w:rsid w:val="008C5D3F"/>
    <w:rsid w:val="008C70CB"/>
    <w:rsid w:val="008C77BE"/>
    <w:rsid w:val="008D01CA"/>
    <w:rsid w:val="008D1CE2"/>
    <w:rsid w:val="008D1F24"/>
    <w:rsid w:val="008D2426"/>
    <w:rsid w:val="008D2AFF"/>
    <w:rsid w:val="008D4B09"/>
    <w:rsid w:val="008D6246"/>
    <w:rsid w:val="008E16E3"/>
    <w:rsid w:val="008E2679"/>
    <w:rsid w:val="008E3937"/>
    <w:rsid w:val="008E5770"/>
    <w:rsid w:val="008E5C12"/>
    <w:rsid w:val="008E7E6B"/>
    <w:rsid w:val="008E7EA1"/>
    <w:rsid w:val="008F0168"/>
    <w:rsid w:val="008F3768"/>
    <w:rsid w:val="008F63BC"/>
    <w:rsid w:val="008F72A8"/>
    <w:rsid w:val="00902344"/>
    <w:rsid w:val="0090250E"/>
    <w:rsid w:val="00902B08"/>
    <w:rsid w:val="00903A07"/>
    <w:rsid w:val="009046BA"/>
    <w:rsid w:val="00906456"/>
    <w:rsid w:val="009078F2"/>
    <w:rsid w:val="00910EAA"/>
    <w:rsid w:val="00912E4D"/>
    <w:rsid w:val="00914EB2"/>
    <w:rsid w:val="00915ADD"/>
    <w:rsid w:val="00915C7A"/>
    <w:rsid w:val="009206AD"/>
    <w:rsid w:val="0092124B"/>
    <w:rsid w:val="0092170D"/>
    <w:rsid w:val="00923077"/>
    <w:rsid w:val="009249E9"/>
    <w:rsid w:val="00924C2F"/>
    <w:rsid w:val="00927280"/>
    <w:rsid w:val="009356E6"/>
    <w:rsid w:val="00936A5B"/>
    <w:rsid w:val="00937A13"/>
    <w:rsid w:val="00941658"/>
    <w:rsid w:val="0094264E"/>
    <w:rsid w:val="00944202"/>
    <w:rsid w:val="00944851"/>
    <w:rsid w:val="00944966"/>
    <w:rsid w:val="00945625"/>
    <w:rsid w:val="009560D1"/>
    <w:rsid w:val="00957B85"/>
    <w:rsid w:val="00960BA5"/>
    <w:rsid w:val="0096110B"/>
    <w:rsid w:val="00962DD2"/>
    <w:rsid w:val="00963C8D"/>
    <w:rsid w:val="00963F44"/>
    <w:rsid w:val="00965A87"/>
    <w:rsid w:val="00966F9E"/>
    <w:rsid w:val="00967FB1"/>
    <w:rsid w:val="009721EC"/>
    <w:rsid w:val="0097300B"/>
    <w:rsid w:val="00974C06"/>
    <w:rsid w:val="009757AE"/>
    <w:rsid w:val="00976095"/>
    <w:rsid w:val="00976F8C"/>
    <w:rsid w:val="009806AA"/>
    <w:rsid w:val="009850F0"/>
    <w:rsid w:val="00985BD9"/>
    <w:rsid w:val="0098609B"/>
    <w:rsid w:val="0098680E"/>
    <w:rsid w:val="00986E79"/>
    <w:rsid w:val="0098777C"/>
    <w:rsid w:val="0099066B"/>
    <w:rsid w:val="00991293"/>
    <w:rsid w:val="00991D22"/>
    <w:rsid w:val="009947FA"/>
    <w:rsid w:val="00996645"/>
    <w:rsid w:val="00996A45"/>
    <w:rsid w:val="009A2283"/>
    <w:rsid w:val="009A2383"/>
    <w:rsid w:val="009A2508"/>
    <w:rsid w:val="009A5327"/>
    <w:rsid w:val="009A6A1A"/>
    <w:rsid w:val="009A6D6B"/>
    <w:rsid w:val="009B03EE"/>
    <w:rsid w:val="009B0871"/>
    <w:rsid w:val="009B1074"/>
    <w:rsid w:val="009B2E80"/>
    <w:rsid w:val="009B2EDB"/>
    <w:rsid w:val="009B4C9D"/>
    <w:rsid w:val="009B5042"/>
    <w:rsid w:val="009B5555"/>
    <w:rsid w:val="009B5BED"/>
    <w:rsid w:val="009B7440"/>
    <w:rsid w:val="009B7F49"/>
    <w:rsid w:val="009C0C96"/>
    <w:rsid w:val="009C188C"/>
    <w:rsid w:val="009C23FD"/>
    <w:rsid w:val="009C2CF9"/>
    <w:rsid w:val="009C680A"/>
    <w:rsid w:val="009D101C"/>
    <w:rsid w:val="009D5692"/>
    <w:rsid w:val="009D5D21"/>
    <w:rsid w:val="009D7153"/>
    <w:rsid w:val="009E03ED"/>
    <w:rsid w:val="009E0AA2"/>
    <w:rsid w:val="009E130A"/>
    <w:rsid w:val="009E230C"/>
    <w:rsid w:val="009E27BB"/>
    <w:rsid w:val="009E3D46"/>
    <w:rsid w:val="009E4B7D"/>
    <w:rsid w:val="009E59E0"/>
    <w:rsid w:val="009E5E10"/>
    <w:rsid w:val="009E6241"/>
    <w:rsid w:val="009E6D6A"/>
    <w:rsid w:val="009F246C"/>
    <w:rsid w:val="00A00B80"/>
    <w:rsid w:val="00A0178A"/>
    <w:rsid w:val="00A01AAE"/>
    <w:rsid w:val="00A02BEF"/>
    <w:rsid w:val="00A041F6"/>
    <w:rsid w:val="00A050B7"/>
    <w:rsid w:val="00A05478"/>
    <w:rsid w:val="00A0710A"/>
    <w:rsid w:val="00A0737F"/>
    <w:rsid w:val="00A079CE"/>
    <w:rsid w:val="00A124C7"/>
    <w:rsid w:val="00A127B2"/>
    <w:rsid w:val="00A15735"/>
    <w:rsid w:val="00A1653D"/>
    <w:rsid w:val="00A16808"/>
    <w:rsid w:val="00A1699F"/>
    <w:rsid w:val="00A16AEE"/>
    <w:rsid w:val="00A177DE"/>
    <w:rsid w:val="00A20391"/>
    <w:rsid w:val="00A20ABE"/>
    <w:rsid w:val="00A221F6"/>
    <w:rsid w:val="00A22272"/>
    <w:rsid w:val="00A22BC4"/>
    <w:rsid w:val="00A24EF7"/>
    <w:rsid w:val="00A3043E"/>
    <w:rsid w:val="00A326C3"/>
    <w:rsid w:val="00A3284B"/>
    <w:rsid w:val="00A3286F"/>
    <w:rsid w:val="00A35D02"/>
    <w:rsid w:val="00A37E70"/>
    <w:rsid w:val="00A40244"/>
    <w:rsid w:val="00A40784"/>
    <w:rsid w:val="00A41E64"/>
    <w:rsid w:val="00A430D3"/>
    <w:rsid w:val="00A462A0"/>
    <w:rsid w:val="00A464B9"/>
    <w:rsid w:val="00A47734"/>
    <w:rsid w:val="00A50DBB"/>
    <w:rsid w:val="00A514C4"/>
    <w:rsid w:val="00A5366C"/>
    <w:rsid w:val="00A55FFF"/>
    <w:rsid w:val="00A560EA"/>
    <w:rsid w:val="00A57CA3"/>
    <w:rsid w:val="00A60F07"/>
    <w:rsid w:val="00A616B1"/>
    <w:rsid w:val="00A63E06"/>
    <w:rsid w:val="00A64DC0"/>
    <w:rsid w:val="00A7049D"/>
    <w:rsid w:val="00A71CBC"/>
    <w:rsid w:val="00A71EA0"/>
    <w:rsid w:val="00A71F58"/>
    <w:rsid w:val="00A72377"/>
    <w:rsid w:val="00A75ADB"/>
    <w:rsid w:val="00A7752B"/>
    <w:rsid w:val="00A80A27"/>
    <w:rsid w:val="00A80BD6"/>
    <w:rsid w:val="00A81EAB"/>
    <w:rsid w:val="00A822FA"/>
    <w:rsid w:val="00A83754"/>
    <w:rsid w:val="00A83794"/>
    <w:rsid w:val="00A83872"/>
    <w:rsid w:val="00A8527D"/>
    <w:rsid w:val="00A854FC"/>
    <w:rsid w:val="00A8579D"/>
    <w:rsid w:val="00A90EDB"/>
    <w:rsid w:val="00A91273"/>
    <w:rsid w:val="00A91335"/>
    <w:rsid w:val="00A9215C"/>
    <w:rsid w:val="00A92C6E"/>
    <w:rsid w:val="00A948CD"/>
    <w:rsid w:val="00A95100"/>
    <w:rsid w:val="00A95423"/>
    <w:rsid w:val="00A96DB1"/>
    <w:rsid w:val="00A97858"/>
    <w:rsid w:val="00AA0BCF"/>
    <w:rsid w:val="00AA19B6"/>
    <w:rsid w:val="00AA3E55"/>
    <w:rsid w:val="00AA660E"/>
    <w:rsid w:val="00AA6F39"/>
    <w:rsid w:val="00AAFFAB"/>
    <w:rsid w:val="00AB016F"/>
    <w:rsid w:val="00AB0526"/>
    <w:rsid w:val="00AB06F3"/>
    <w:rsid w:val="00AB215E"/>
    <w:rsid w:val="00AB4972"/>
    <w:rsid w:val="00AB694F"/>
    <w:rsid w:val="00AB7039"/>
    <w:rsid w:val="00AB7BE9"/>
    <w:rsid w:val="00AC0618"/>
    <w:rsid w:val="00AC0847"/>
    <w:rsid w:val="00AC2B20"/>
    <w:rsid w:val="00AC369E"/>
    <w:rsid w:val="00AC3B57"/>
    <w:rsid w:val="00AC5DFB"/>
    <w:rsid w:val="00AC611B"/>
    <w:rsid w:val="00AC7407"/>
    <w:rsid w:val="00AC7FE8"/>
    <w:rsid w:val="00AD0C56"/>
    <w:rsid w:val="00AD1D6A"/>
    <w:rsid w:val="00AD389D"/>
    <w:rsid w:val="00AE380D"/>
    <w:rsid w:val="00AE397B"/>
    <w:rsid w:val="00AE7BB1"/>
    <w:rsid w:val="00AF121E"/>
    <w:rsid w:val="00B04088"/>
    <w:rsid w:val="00B040F0"/>
    <w:rsid w:val="00B05D20"/>
    <w:rsid w:val="00B05E18"/>
    <w:rsid w:val="00B06D9A"/>
    <w:rsid w:val="00B07979"/>
    <w:rsid w:val="00B07E56"/>
    <w:rsid w:val="00B1257C"/>
    <w:rsid w:val="00B12CD3"/>
    <w:rsid w:val="00B13CFF"/>
    <w:rsid w:val="00B13E05"/>
    <w:rsid w:val="00B15F84"/>
    <w:rsid w:val="00B17101"/>
    <w:rsid w:val="00B17D9D"/>
    <w:rsid w:val="00B22287"/>
    <w:rsid w:val="00B236A0"/>
    <w:rsid w:val="00B23CA9"/>
    <w:rsid w:val="00B23F7A"/>
    <w:rsid w:val="00B2618D"/>
    <w:rsid w:val="00B263B2"/>
    <w:rsid w:val="00B26952"/>
    <w:rsid w:val="00B27B3B"/>
    <w:rsid w:val="00B315EC"/>
    <w:rsid w:val="00B32FD0"/>
    <w:rsid w:val="00B33B5C"/>
    <w:rsid w:val="00B33F74"/>
    <w:rsid w:val="00B35371"/>
    <w:rsid w:val="00B35D52"/>
    <w:rsid w:val="00B373D5"/>
    <w:rsid w:val="00B41359"/>
    <w:rsid w:val="00B42A47"/>
    <w:rsid w:val="00B43A7D"/>
    <w:rsid w:val="00B4408B"/>
    <w:rsid w:val="00B44966"/>
    <w:rsid w:val="00B44E51"/>
    <w:rsid w:val="00B45E9D"/>
    <w:rsid w:val="00B45F07"/>
    <w:rsid w:val="00B46ED5"/>
    <w:rsid w:val="00B4796B"/>
    <w:rsid w:val="00B47A69"/>
    <w:rsid w:val="00B504F6"/>
    <w:rsid w:val="00B57E05"/>
    <w:rsid w:val="00B6067D"/>
    <w:rsid w:val="00B60D31"/>
    <w:rsid w:val="00B621E6"/>
    <w:rsid w:val="00B62437"/>
    <w:rsid w:val="00B64B4A"/>
    <w:rsid w:val="00B657E2"/>
    <w:rsid w:val="00B70C3E"/>
    <w:rsid w:val="00B7251C"/>
    <w:rsid w:val="00B73039"/>
    <w:rsid w:val="00B73C46"/>
    <w:rsid w:val="00B7544F"/>
    <w:rsid w:val="00B76E29"/>
    <w:rsid w:val="00B77ED6"/>
    <w:rsid w:val="00B80733"/>
    <w:rsid w:val="00B80CD8"/>
    <w:rsid w:val="00B80F47"/>
    <w:rsid w:val="00B81CD4"/>
    <w:rsid w:val="00B8583C"/>
    <w:rsid w:val="00B8642C"/>
    <w:rsid w:val="00B907C7"/>
    <w:rsid w:val="00B9287B"/>
    <w:rsid w:val="00B94337"/>
    <w:rsid w:val="00B94364"/>
    <w:rsid w:val="00B9518D"/>
    <w:rsid w:val="00B958A6"/>
    <w:rsid w:val="00B9605C"/>
    <w:rsid w:val="00B96DA5"/>
    <w:rsid w:val="00BA0E19"/>
    <w:rsid w:val="00BA1707"/>
    <w:rsid w:val="00BA3C81"/>
    <w:rsid w:val="00BA4ABA"/>
    <w:rsid w:val="00BA6399"/>
    <w:rsid w:val="00BB015D"/>
    <w:rsid w:val="00BB0936"/>
    <w:rsid w:val="00BB0D66"/>
    <w:rsid w:val="00BB0F0A"/>
    <w:rsid w:val="00BB7179"/>
    <w:rsid w:val="00BB7651"/>
    <w:rsid w:val="00BC06D8"/>
    <w:rsid w:val="00BC10E9"/>
    <w:rsid w:val="00BC25BB"/>
    <w:rsid w:val="00BC41C2"/>
    <w:rsid w:val="00BC46E2"/>
    <w:rsid w:val="00BC640E"/>
    <w:rsid w:val="00BC6A7C"/>
    <w:rsid w:val="00BC754E"/>
    <w:rsid w:val="00BD22F1"/>
    <w:rsid w:val="00BD4CFA"/>
    <w:rsid w:val="00BD5B32"/>
    <w:rsid w:val="00BD7F80"/>
    <w:rsid w:val="00BE0B58"/>
    <w:rsid w:val="00BE3A21"/>
    <w:rsid w:val="00BE4C12"/>
    <w:rsid w:val="00BE5B75"/>
    <w:rsid w:val="00BE6622"/>
    <w:rsid w:val="00BF0250"/>
    <w:rsid w:val="00BF0BC8"/>
    <w:rsid w:val="00BF1152"/>
    <w:rsid w:val="00BF1CB4"/>
    <w:rsid w:val="00BF24C6"/>
    <w:rsid w:val="00BF3103"/>
    <w:rsid w:val="00C02870"/>
    <w:rsid w:val="00C03005"/>
    <w:rsid w:val="00C0385A"/>
    <w:rsid w:val="00C03A48"/>
    <w:rsid w:val="00C03C33"/>
    <w:rsid w:val="00C047FD"/>
    <w:rsid w:val="00C05DC3"/>
    <w:rsid w:val="00C062EC"/>
    <w:rsid w:val="00C07047"/>
    <w:rsid w:val="00C07EA7"/>
    <w:rsid w:val="00C12620"/>
    <w:rsid w:val="00C1424B"/>
    <w:rsid w:val="00C15526"/>
    <w:rsid w:val="00C15A1B"/>
    <w:rsid w:val="00C17A5C"/>
    <w:rsid w:val="00C211C1"/>
    <w:rsid w:val="00C22A8F"/>
    <w:rsid w:val="00C22E1E"/>
    <w:rsid w:val="00C2350B"/>
    <w:rsid w:val="00C238DF"/>
    <w:rsid w:val="00C24A53"/>
    <w:rsid w:val="00C25B39"/>
    <w:rsid w:val="00C26890"/>
    <w:rsid w:val="00C26CC1"/>
    <w:rsid w:val="00C26E11"/>
    <w:rsid w:val="00C27D88"/>
    <w:rsid w:val="00C305B1"/>
    <w:rsid w:val="00C31855"/>
    <w:rsid w:val="00C40974"/>
    <w:rsid w:val="00C416CD"/>
    <w:rsid w:val="00C41B14"/>
    <w:rsid w:val="00C42E73"/>
    <w:rsid w:val="00C43E7C"/>
    <w:rsid w:val="00C45B5C"/>
    <w:rsid w:val="00C4630D"/>
    <w:rsid w:val="00C46388"/>
    <w:rsid w:val="00C46BE6"/>
    <w:rsid w:val="00C47A63"/>
    <w:rsid w:val="00C50A1A"/>
    <w:rsid w:val="00C53524"/>
    <w:rsid w:val="00C53913"/>
    <w:rsid w:val="00C54A01"/>
    <w:rsid w:val="00C54D3C"/>
    <w:rsid w:val="00C56D4B"/>
    <w:rsid w:val="00C56D66"/>
    <w:rsid w:val="00C570CF"/>
    <w:rsid w:val="00C584CA"/>
    <w:rsid w:val="00C6798C"/>
    <w:rsid w:val="00C70BFA"/>
    <w:rsid w:val="00C75933"/>
    <w:rsid w:val="00C776D9"/>
    <w:rsid w:val="00C801BF"/>
    <w:rsid w:val="00C80A06"/>
    <w:rsid w:val="00C80F2D"/>
    <w:rsid w:val="00C82E76"/>
    <w:rsid w:val="00C84996"/>
    <w:rsid w:val="00C87981"/>
    <w:rsid w:val="00C902B0"/>
    <w:rsid w:val="00C933FB"/>
    <w:rsid w:val="00C939AF"/>
    <w:rsid w:val="00CA0041"/>
    <w:rsid w:val="00CA0E57"/>
    <w:rsid w:val="00CA171A"/>
    <w:rsid w:val="00CA3830"/>
    <w:rsid w:val="00CA491E"/>
    <w:rsid w:val="00CA4D81"/>
    <w:rsid w:val="00CA7592"/>
    <w:rsid w:val="00CB12E3"/>
    <w:rsid w:val="00CB16BB"/>
    <w:rsid w:val="00CB2513"/>
    <w:rsid w:val="00CB5184"/>
    <w:rsid w:val="00CB6591"/>
    <w:rsid w:val="00CC06B1"/>
    <w:rsid w:val="00CC4505"/>
    <w:rsid w:val="00CC47A9"/>
    <w:rsid w:val="00CC4CDD"/>
    <w:rsid w:val="00CC62BC"/>
    <w:rsid w:val="00CC70D2"/>
    <w:rsid w:val="00CC72BB"/>
    <w:rsid w:val="00CD1866"/>
    <w:rsid w:val="00CD2BF7"/>
    <w:rsid w:val="00CD3566"/>
    <w:rsid w:val="00CD74FA"/>
    <w:rsid w:val="00CE0D1E"/>
    <w:rsid w:val="00CE1E8A"/>
    <w:rsid w:val="00CE55C1"/>
    <w:rsid w:val="00CE7946"/>
    <w:rsid w:val="00CE7B65"/>
    <w:rsid w:val="00CF1D69"/>
    <w:rsid w:val="00CF3279"/>
    <w:rsid w:val="00CF3944"/>
    <w:rsid w:val="00CF39BC"/>
    <w:rsid w:val="00CF3A83"/>
    <w:rsid w:val="00CF6CE4"/>
    <w:rsid w:val="00CF76ED"/>
    <w:rsid w:val="00D000FB"/>
    <w:rsid w:val="00D00627"/>
    <w:rsid w:val="00D006A6"/>
    <w:rsid w:val="00D00F9F"/>
    <w:rsid w:val="00D02DBD"/>
    <w:rsid w:val="00D04B4C"/>
    <w:rsid w:val="00D0766B"/>
    <w:rsid w:val="00D13774"/>
    <w:rsid w:val="00D137C6"/>
    <w:rsid w:val="00D13B12"/>
    <w:rsid w:val="00D140CE"/>
    <w:rsid w:val="00D14BD3"/>
    <w:rsid w:val="00D173CE"/>
    <w:rsid w:val="00D17DB0"/>
    <w:rsid w:val="00D2068E"/>
    <w:rsid w:val="00D227B3"/>
    <w:rsid w:val="00D22916"/>
    <w:rsid w:val="00D23B5A"/>
    <w:rsid w:val="00D3015D"/>
    <w:rsid w:val="00D30B9D"/>
    <w:rsid w:val="00D31250"/>
    <w:rsid w:val="00D31CCF"/>
    <w:rsid w:val="00D34623"/>
    <w:rsid w:val="00D35862"/>
    <w:rsid w:val="00D3642F"/>
    <w:rsid w:val="00D419A7"/>
    <w:rsid w:val="00D419A9"/>
    <w:rsid w:val="00D42851"/>
    <w:rsid w:val="00D4288A"/>
    <w:rsid w:val="00D44143"/>
    <w:rsid w:val="00D44175"/>
    <w:rsid w:val="00D45B48"/>
    <w:rsid w:val="00D47BA7"/>
    <w:rsid w:val="00D50DA6"/>
    <w:rsid w:val="00D5184E"/>
    <w:rsid w:val="00D53B73"/>
    <w:rsid w:val="00D602FD"/>
    <w:rsid w:val="00D615FD"/>
    <w:rsid w:val="00D6199E"/>
    <w:rsid w:val="00D63D65"/>
    <w:rsid w:val="00D6653B"/>
    <w:rsid w:val="00D6685B"/>
    <w:rsid w:val="00D673AF"/>
    <w:rsid w:val="00D71F70"/>
    <w:rsid w:val="00D72C2A"/>
    <w:rsid w:val="00D732E6"/>
    <w:rsid w:val="00D764E3"/>
    <w:rsid w:val="00D77104"/>
    <w:rsid w:val="00D77281"/>
    <w:rsid w:val="00D826EF"/>
    <w:rsid w:val="00D84766"/>
    <w:rsid w:val="00D84F94"/>
    <w:rsid w:val="00D864FA"/>
    <w:rsid w:val="00D872B2"/>
    <w:rsid w:val="00D8748F"/>
    <w:rsid w:val="00D93310"/>
    <w:rsid w:val="00D93459"/>
    <w:rsid w:val="00D939F2"/>
    <w:rsid w:val="00D94D1B"/>
    <w:rsid w:val="00D95D45"/>
    <w:rsid w:val="00D97138"/>
    <w:rsid w:val="00DA11AD"/>
    <w:rsid w:val="00DA302A"/>
    <w:rsid w:val="00DA5043"/>
    <w:rsid w:val="00DA6FBD"/>
    <w:rsid w:val="00DB0983"/>
    <w:rsid w:val="00DB0EE2"/>
    <w:rsid w:val="00DB1715"/>
    <w:rsid w:val="00DB196B"/>
    <w:rsid w:val="00DB2392"/>
    <w:rsid w:val="00DB2455"/>
    <w:rsid w:val="00DB5FB8"/>
    <w:rsid w:val="00DB63E6"/>
    <w:rsid w:val="00DC0833"/>
    <w:rsid w:val="00DC109A"/>
    <w:rsid w:val="00DC152E"/>
    <w:rsid w:val="00DC1F01"/>
    <w:rsid w:val="00DC2DC1"/>
    <w:rsid w:val="00DC7B76"/>
    <w:rsid w:val="00DD006B"/>
    <w:rsid w:val="00DD083B"/>
    <w:rsid w:val="00DD1BB4"/>
    <w:rsid w:val="00DD3C9B"/>
    <w:rsid w:val="00DD3FF8"/>
    <w:rsid w:val="00DE013C"/>
    <w:rsid w:val="00DE1DA7"/>
    <w:rsid w:val="00DE1E0E"/>
    <w:rsid w:val="00DE20AB"/>
    <w:rsid w:val="00DE41F2"/>
    <w:rsid w:val="00DE496E"/>
    <w:rsid w:val="00DE4CAD"/>
    <w:rsid w:val="00DE74EE"/>
    <w:rsid w:val="00DE7DBE"/>
    <w:rsid w:val="00DF059C"/>
    <w:rsid w:val="00DF171C"/>
    <w:rsid w:val="00DF451B"/>
    <w:rsid w:val="00DF5BC7"/>
    <w:rsid w:val="00E00A03"/>
    <w:rsid w:val="00E021AB"/>
    <w:rsid w:val="00E03B39"/>
    <w:rsid w:val="00E05187"/>
    <w:rsid w:val="00E07EAC"/>
    <w:rsid w:val="00E10900"/>
    <w:rsid w:val="00E1312E"/>
    <w:rsid w:val="00E1600D"/>
    <w:rsid w:val="00E168A1"/>
    <w:rsid w:val="00E179CF"/>
    <w:rsid w:val="00E206B2"/>
    <w:rsid w:val="00E23C17"/>
    <w:rsid w:val="00E25C8C"/>
    <w:rsid w:val="00E31A1B"/>
    <w:rsid w:val="00E339E5"/>
    <w:rsid w:val="00E34060"/>
    <w:rsid w:val="00E345D8"/>
    <w:rsid w:val="00E34E81"/>
    <w:rsid w:val="00E35FC5"/>
    <w:rsid w:val="00E37167"/>
    <w:rsid w:val="00E37D5C"/>
    <w:rsid w:val="00E37E48"/>
    <w:rsid w:val="00E40237"/>
    <w:rsid w:val="00E424F6"/>
    <w:rsid w:val="00E44CDF"/>
    <w:rsid w:val="00E45C00"/>
    <w:rsid w:val="00E46B48"/>
    <w:rsid w:val="00E47AB8"/>
    <w:rsid w:val="00E521D6"/>
    <w:rsid w:val="00E5258D"/>
    <w:rsid w:val="00E531F4"/>
    <w:rsid w:val="00E5339A"/>
    <w:rsid w:val="00E54D4A"/>
    <w:rsid w:val="00E557C2"/>
    <w:rsid w:val="00E56EF9"/>
    <w:rsid w:val="00E57437"/>
    <w:rsid w:val="00E60D52"/>
    <w:rsid w:val="00E60EF4"/>
    <w:rsid w:val="00E63939"/>
    <w:rsid w:val="00E67DD8"/>
    <w:rsid w:val="00E7289A"/>
    <w:rsid w:val="00E81BAF"/>
    <w:rsid w:val="00E82617"/>
    <w:rsid w:val="00E832CB"/>
    <w:rsid w:val="00E87FA9"/>
    <w:rsid w:val="00E90293"/>
    <w:rsid w:val="00E91445"/>
    <w:rsid w:val="00E92AF6"/>
    <w:rsid w:val="00E935CA"/>
    <w:rsid w:val="00E93AF6"/>
    <w:rsid w:val="00E951CD"/>
    <w:rsid w:val="00E95C93"/>
    <w:rsid w:val="00E975D8"/>
    <w:rsid w:val="00E97B1C"/>
    <w:rsid w:val="00EA0EBF"/>
    <w:rsid w:val="00EA1C21"/>
    <w:rsid w:val="00EA56B2"/>
    <w:rsid w:val="00EA7F75"/>
    <w:rsid w:val="00EB30AE"/>
    <w:rsid w:val="00EB33BE"/>
    <w:rsid w:val="00EB3C31"/>
    <w:rsid w:val="00EB4CE2"/>
    <w:rsid w:val="00EC1AC7"/>
    <w:rsid w:val="00EC3D4E"/>
    <w:rsid w:val="00EC4D34"/>
    <w:rsid w:val="00EC53A4"/>
    <w:rsid w:val="00EC65A6"/>
    <w:rsid w:val="00EC6E2E"/>
    <w:rsid w:val="00EC7B37"/>
    <w:rsid w:val="00ED0DB8"/>
    <w:rsid w:val="00ED1219"/>
    <w:rsid w:val="00ED1828"/>
    <w:rsid w:val="00ED28E5"/>
    <w:rsid w:val="00ED3CE7"/>
    <w:rsid w:val="00ED666A"/>
    <w:rsid w:val="00EE0831"/>
    <w:rsid w:val="00EE120D"/>
    <w:rsid w:val="00EE23FB"/>
    <w:rsid w:val="00EE3E77"/>
    <w:rsid w:val="00EE50BB"/>
    <w:rsid w:val="00EE571B"/>
    <w:rsid w:val="00EE5E38"/>
    <w:rsid w:val="00EE6CBD"/>
    <w:rsid w:val="00EE76A5"/>
    <w:rsid w:val="00EF0D63"/>
    <w:rsid w:val="00EF130E"/>
    <w:rsid w:val="00EF3A71"/>
    <w:rsid w:val="00EF43B8"/>
    <w:rsid w:val="00EF48C0"/>
    <w:rsid w:val="00EF5ED1"/>
    <w:rsid w:val="00EF66CE"/>
    <w:rsid w:val="00EF6C33"/>
    <w:rsid w:val="00F0144D"/>
    <w:rsid w:val="00F02C40"/>
    <w:rsid w:val="00F02E99"/>
    <w:rsid w:val="00F04712"/>
    <w:rsid w:val="00F04C76"/>
    <w:rsid w:val="00F10FAA"/>
    <w:rsid w:val="00F123B6"/>
    <w:rsid w:val="00F13DB5"/>
    <w:rsid w:val="00F154B4"/>
    <w:rsid w:val="00F164F6"/>
    <w:rsid w:val="00F172BF"/>
    <w:rsid w:val="00F226DA"/>
    <w:rsid w:val="00F22B88"/>
    <w:rsid w:val="00F239F8"/>
    <w:rsid w:val="00F251D9"/>
    <w:rsid w:val="00F2678F"/>
    <w:rsid w:val="00F26E88"/>
    <w:rsid w:val="00F30C7B"/>
    <w:rsid w:val="00F31596"/>
    <w:rsid w:val="00F32985"/>
    <w:rsid w:val="00F33DF2"/>
    <w:rsid w:val="00F34816"/>
    <w:rsid w:val="00F35399"/>
    <w:rsid w:val="00F36CE1"/>
    <w:rsid w:val="00F41A20"/>
    <w:rsid w:val="00F42FCC"/>
    <w:rsid w:val="00F431BA"/>
    <w:rsid w:val="00F43AEB"/>
    <w:rsid w:val="00F4404D"/>
    <w:rsid w:val="00F460E0"/>
    <w:rsid w:val="00F526E9"/>
    <w:rsid w:val="00F52901"/>
    <w:rsid w:val="00F52F47"/>
    <w:rsid w:val="00F53163"/>
    <w:rsid w:val="00F5452E"/>
    <w:rsid w:val="00F551BA"/>
    <w:rsid w:val="00F559FE"/>
    <w:rsid w:val="00F570CC"/>
    <w:rsid w:val="00F57493"/>
    <w:rsid w:val="00F57A9E"/>
    <w:rsid w:val="00F601F4"/>
    <w:rsid w:val="00F60CCB"/>
    <w:rsid w:val="00F61738"/>
    <w:rsid w:val="00F668DF"/>
    <w:rsid w:val="00F704FD"/>
    <w:rsid w:val="00F706F4"/>
    <w:rsid w:val="00F70A9C"/>
    <w:rsid w:val="00F7447F"/>
    <w:rsid w:val="00F800B6"/>
    <w:rsid w:val="00F81117"/>
    <w:rsid w:val="00F832FD"/>
    <w:rsid w:val="00F83D60"/>
    <w:rsid w:val="00F84047"/>
    <w:rsid w:val="00F845A9"/>
    <w:rsid w:val="00F90DD9"/>
    <w:rsid w:val="00F9158B"/>
    <w:rsid w:val="00F91D81"/>
    <w:rsid w:val="00F9339E"/>
    <w:rsid w:val="00F93BA6"/>
    <w:rsid w:val="00F94016"/>
    <w:rsid w:val="00F96160"/>
    <w:rsid w:val="00F969A3"/>
    <w:rsid w:val="00F97FC7"/>
    <w:rsid w:val="00FA0F8B"/>
    <w:rsid w:val="00FA2B01"/>
    <w:rsid w:val="00FA2B78"/>
    <w:rsid w:val="00FA53F8"/>
    <w:rsid w:val="00FA759B"/>
    <w:rsid w:val="00FB462B"/>
    <w:rsid w:val="00FB5E0C"/>
    <w:rsid w:val="00FB665D"/>
    <w:rsid w:val="00FB79AC"/>
    <w:rsid w:val="00FC1CB6"/>
    <w:rsid w:val="00FC299F"/>
    <w:rsid w:val="00FC2E16"/>
    <w:rsid w:val="00FC4DF4"/>
    <w:rsid w:val="00FC55A9"/>
    <w:rsid w:val="00FC7704"/>
    <w:rsid w:val="00FD0536"/>
    <w:rsid w:val="00FD153E"/>
    <w:rsid w:val="00FD254C"/>
    <w:rsid w:val="00FD3DFA"/>
    <w:rsid w:val="00FD4520"/>
    <w:rsid w:val="00FD4909"/>
    <w:rsid w:val="00FD4B13"/>
    <w:rsid w:val="00FD5D05"/>
    <w:rsid w:val="00FD5E93"/>
    <w:rsid w:val="00FD5F55"/>
    <w:rsid w:val="00FD7282"/>
    <w:rsid w:val="00FD7903"/>
    <w:rsid w:val="00FE2711"/>
    <w:rsid w:val="00FE2E32"/>
    <w:rsid w:val="00FE5ED9"/>
    <w:rsid w:val="00FE5FDD"/>
    <w:rsid w:val="00FE73DC"/>
    <w:rsid w:val="00FF38C7"/>
    <w:rsid w:val="00FF4ED7"/>
    <w:rsid w:val="00FF5235"/>
    <w:rsid w:val="00FF5976"/>
    <w:rsid w:val="00FF79AA"/>
    <w:rsid w:val="010ACF34"/>
    <w:rsid w:val="0110ACBA"/>
    <w:rsid w:val="011C6E62"/>
    <w:rsid w:val="0127F589"/>
    <w:rsid w:val="014E4389"/>
    <w:rsid w:val="015371FB"/>
    <w:rsid w:val="0158AEDC"/>
    <w:rsid w:val="016CF13F"/>
    <w:rsid w:val="01844B89"/>
    <w:rsid w:val="01AE69DE"/>
    <w:rsid w:val="01B3711D"/>
    <w:rsid w:val="01D0FA19"/>
    <w:rsid w:val="023FE836"/>
    <w:rsid w:val="0246588D"/>
    <w:rsid w:val="026571FD"/>
    <w:rsid w:val="0284F66D"/>
    <w:rsid w:val="02938F35"/>
    <w:rsid w:val="0297B78B"/>
    <w:rsid w:val="02BDED0E"/>
    <w:rsid w:val="02C10AF1"/>
    <w:rsid w:val="02CFFBC1"/>
    <w:rsid w:val="02DC02AD"/>
    <w:rsid w:val="02DCEDCF"/>
    <w:rsid w:val="0310857A"/>
    <w:rsid w:val="032BC734"/>
    <w:rsid w:val="034105D1"/>
    <w:rsid w:val="034A0C31"/>
    <w:rsid w:val="035A1F4A"/>
    <w:rsid w:val="035B34E5"/>
    <w:rsid w:val="03707609"/>
    <w:rsid w:val="039938A2"/>
    <w:rsid w:val="04054274"/>
    <w:rsid w:val="042354BD"/>
    <w:rsid w:val="04313A4E"/>
    <w:rsid w:val="044BE463"/>
    <w:rsid w:val="0453606E"/>
    <w:rsid w:val="048C45B5"/>
    <w:rsid w:val="0493EC93"/>
    <w:rsid w:val="049EFEE9"/>
    <w:rsid w:val="04B70B31"/>
    <w:rsid w:val="04BF4DBE"/>
    <w:rsid w:val="04C0DAA4"/>
    <w:rsid w:val="04C3ADD5"/>
    <w:rsid w:val="04F2A6FE"/>
    <w:rsid w:val="04F438E8"/>
    <w:rsid w:val="0526A4F6"/>
    <w:rsid w:val="055FC5D6"/>
    <w:rsid w:val="0597C8EA"/>
    <w:rsid w:val="05ED5FD3"/>
    <w:rsid w:val="05F49704"/>
    <w:rsid w:val="05F93912"/>
    <w:rsid w:val="05FB80D0"/>
    <w:rsid w:val="0619664C"/>
    <w:rsid w:val="06372F8C"/>
    <w:rsid w:val="0644074F"/>
    <w:rsid w:val="06504992"/>
    <w:rsid w:val="065572F5"/>
    <w:rsid w:val="066367F6"/>
    <w:rsid w:val="0677DDB7"/>
    <w:rsid w:val="0692D5A7"/>
    <w:rsid w:val="0693A2B8"/>
    <w:rsid w:val="069B6B93"/>
    <w:rsid w:val="06BA61D4"/>
    <w:rsid w:val="06BE7154"/>
    <w:rsid w:val="070E5AF6"/>
    <w:rsid w:val="0718DB6A"/>
    <w:rsid w:val="071BAAE4"/>
    <w:rsid w:val="0785A060"/>
    <w:rsid w:val="07D3B5CD"/>
    <w:rsid w:val="07D69FAB"/>
    <w:rsid w:val="0835F149"/>
    <w:rsid w:val="083FA7DD"/>
    <w:rsid w:val="084AA55A"/>
    <w:rsid w:val="08632C02"/>
    <w:rsid w:val="0864D92E"/>
    <w:rsid w:val="0883FB36"/>
    <w:rsid w:val="08E1B571"/>
    <w:rsid w:val="08F1DBF4"/>
    <w:rsid w:val="097CE549"/>
    <w:rsid w:val="0985A9A6"/>
    <w:rsid w:val="09A06B29"/>
    <w:rsid w:val="09A40C5C"/>
    <w:rsid w:val="09ADB1B5"/>
    <w:rsid w:val="09CD3ACC"/>
    <w:rsid w:val="0A378524"/>
    <w:rsid w:val="0A61B58A"/>
    <w:rsid w:val="0A6ED805"/>
    <w:rsid w:val="0A77E66B"/>
    <w:rsid w:val="0AEBD3DF"/>
    <w:rsid w:val="0B198B7B"/>
    <w:rsid w:val="0B3A20F1"/>
    <w:rsid w:val="0B43265A"/>
    <w:rsid w:val="0B65A44C"/>
    <w:rsid w:val="0B905EBB"/>
    <w:rsid w:val="0BDB9D54"/>
    <w:rsid w:val="0BE00167"/>
    <w:rsid w:val="0C285B4F"/>
    <w:rsid w:val="0C41D878"/>
    <w:rsid w:val="0CC711BA"/>
    <w:rsid w:val="0CCA5143"/>
    <w:rsid w:val="0CD17D56"/>
    <w:rsid w:val="0CDF9E68"/>
    <w:rsid w:val="0CE27EF0"/>
    <w:rsid w:val="0CECC132"/>
    <w:rsid w:val="0D20CBE7"/>
    <w:rsid w:val="0D23D861"/>
    <w:rsid w:val="0D31E7A4"/>
    <w:rsid w:val="0D655998"/>
    <w:rsid w:val="0D6D5610"/>
    <w:rsid w:val="0D7EC0AD"/>
    <w:rsid w:val="0DC3DE4E"/>
    <w:rsid w:val="0DC9C964"/>
    <w:rsid w:val="0DD4C847"/>
    <w:rsid w:val="0DDBEBAB"/>
    <w:rsid w:val="0DDCB1C1"/>
    <w:rsid w:val="0DE04F77"/>
    <w:rsid w:val="0E01C2B8"/>
    <w:rsid w:val="0E084E0D"/>
    <w:rsid w:val="0E0FF849"/>
    <w:rsid w:val="0E161AEB"/>
    <w:rsid w:val="0E237D73"/>
    <w:rsid w:val="0E27A26B"/>
    <w:rsid w:val="0E51153A"/>
    <w:rsid w:val="0E749BCB"/>
    <w:rsid w:val="0E903540"/>
    <w:rsid w:val="0E97EED5"/>
    <w:rsid w:val="0E97FA27"/>
    <w:rsid w:val="0EB4D679"/>
    <w:rsid w:val="0ED0E463"/>
    <w:rsid w:val="0ED8C4C3"/>
    <w:rsid w:val="0EDA1DD5"/>
    <w:rsid w:val="0EF23C65"/>
    <w:rsid w:val="0EFDA709"/>
    <w:rsid w:val="0F4EDCF6"/>
    <w:rsid w:val="0F66D674"/>
    <w:rsid w:val="0F703E50"/>
    <w:rsid w:val="0F753CC4"/>
    <w:rsid w:val="0F788222"/>
    <w:rsid w:val="0F82D244"/>
    <w:rsid w:val="0F90AE3B"/>
    <w:rsid w:val="0F92EDA9"/>
    <w:rsid w:val="0FB6428A"/>
    <w:rsid w:val="0FB7ECAF"/>
    <w:rsid w:val="0FBAE31C"/>
    <w:rsid w:val="0FC44017"/>
    <w:rsid w:val="0FE521A1"/>
    <w:rsid w:val="0FFD7F8E"/>
    <w:rsid w:val="10085B71"/>
    <w:rsid w:val="1015B651"/>
    <w:rsid w:val="101F9238"/>
    <w:rsid w:val="1021E26A"/>
    <w:rsid w:val="102DD9BE"/>
    <w:rsid w:val="1051365D"/>
    <w:rsid w:val="10627B9F"/>
    <w:rsid w:val="1075E4BE"/>
    <w:rsid w:val="10A1422C"/>
    <w:rsid w:val="10BBDBBF"/>
    <w:rsid w:val="10BD9125"/>
    <w:rsid w:val="10DFC0E4"/>
    <w:rsid w:val="11193E81"/>
    <w:rsid w:val="1148088E"/>
    <w:rsid w:val="115563C6"/>
    <w:rsid w:val="11D1826D"/>
    <w:rsid w:val="1201524A"/>
    <w:rsid w:val="1203ACF0"/>
    <w:rsid w:val="1212A398"/>
    <w:rsid w:val="1225EFEC"/>
    <w:rsid w:val="1229DD27"/>
    <w:rsid w:val="1230DF36"/>
    <w:rsid w:val="125A7083"/>
    <w:rsid w:val="1272AB43"/>
    <w:rsid w:val="128CFBCF"/>
    <w:rsid w:val="1298BE3A"/>
    <w:rsid w:val="129E5458"/>
    <w:rsid w:val="12B3F402"/>
    <w:rsid w:val="12F6B69E"/>
    <w:rsid w:val="1303F77A"/>
    <w:rsid w:val="130BF2AB"/>
    <w:rsid w:val="1318F883"/>
    <w:rsid w:val="1325494B"/>
    <w:rsid w:val="13289776"/>
    <w:rsid w:val="135E4D32"/>
    <w:rsid w:val="137D6502"/>
    <w:rsid w:val="13A136F4"/>
    <w:rsid w:val="13AE73F9"/>
    <w:rsid w:val="13B87DC1"/>
    <w:rsid w:val="13C76C7A"/>
    <w:rsid w:val="13CACDFF"/>
    <w:rsid w:val="13E845A7"/>
    <w:rsid w:val="13ED2586"/>
    <w:rsid w:val="13EFAAA2"/>
    <w:rsid w:val="13FA66C6"/>
    <w:rsid w:val="143A6D96"/>
    <w:rsid w:val="14B1FDE3"/>
    <w:rsid w:val="14B4C8E4"/>
    <w:rsid w:val="14BA8104"/>
    <w:rsid w:val="14C31673"/>
    <w:rsid w:val="14F4DEF2"/>
    <w:rsid w:val="14F5BF4B"/>
    <w:rsid w:val="15134798"/>
    <w:rsid w:val="15448375"/>
    <w:rsid w:val="154A4EC5"/>
    <w:rsid w:val="155D0824"/>
    <w:rsid w:val="156C72D5"/>
    <w:rsid w:val="158951E9"/>
    <w:rsid w:val="159066B3"/>
    <w:rsid w:val="15ACEC3B"/>
    <w:rsid w:val="15B056A5"/>
    <w:rsid w:val="15CB007D"/>
    <w:rsid w:val="1637ABB4"/>
    <w:rsid w:val="164AB7A2"/>
    <w:rsid w:val="167160ED"/>
    <w:rsid w:val="167AC084"/>
    <w:rsid w:val="16AE9772"/>
    <w:rsid w:val="16B5CE56"/>
    <w:rsid w:val="16BD1CB8"/>
    <w:rsid w:val="16CF962F"/>
    <w:rsid w:val="16E5845D"/>
    <w:rsid w:val="16EC644D"/>
    <w:rsid w:val="16F40CB1"/>
    <w:rsid w:val="173D68E5"/>
    <w:rsid w:val="1776ECD6"/>
    <w:rsid w:val="17C412C0"/>
    <w:rsid w:val="17C5D1CB"/>
    <w:rsid w:val="17D193E7"/>
    <w:rsid w:val="17D40C10"/>
    <w:rsid w:val="17E35384"/>
    <w:rsid w:val="17E9721A"/>
    <w:rsid w:val="182606EB"/>
    <w:rsid w:val="1830088C"/>
    <w:rsid w:val="18536DB2"/>
    <w:rsid w:val="187B8CBF"/>
    <w:rsid w:val="189A6622"/>
    <w:rsid w:val="18B7801E"/>
    <w:rsid w:val="18C76FFD"/>
    <w:rsid w:val="18DB461D"/>
    <w:rsid w:val="18EF51E0"/>
    <w:rsid w:val="1909F2FA"/>
    <w:rsid w:val="192E2587"/>
    <w:rsid w:val="1942341A"/>
    <w:rsid w:val="195FC944"/>
    <w:rsid w:val="19AD2C17"/>
    <w:rsid w:val="19AFABB8"/>
    <w:rsid w:val="19AFFB77"/>
    <w:rsid w:val="19B9C70A"/>
    <w:rsid w:val="19C1A88A"/>
    <w:rsid w:val="19D20433"/>
    <w:rsid w:val="19DC9452"/>
    <w:rsid w:val="19DE3F0A"/>
    <w:rsid w:val="19F09722"/>
    <w:rsid w:val="1A139E8C"/>
    <w:rsid w:val="1A2ACC4C"/>
    <w:rsid w:val="1A4B2A7A"/>
    <w:rsid w:val="1AA300AA"/>
    <w:rsid w:val="1AA54839"/>
    <w:rsid w:val="1ACB3C9E"/>
    <w:rsid w:val="1ADB7596"/>
    <w:rsid w:val="1AE3A0C8"/>
    <w:rsid w:val="1AE9AF5D"/>
    <w:rsid w:val="1AF067D5"/>
    <w:rsid w:val="1AF8A7A8"/>
    <w:rsid w:val="1B0EE534"/>
    <w:rsid w:val="1B31C87E"/>
    <w:rsid w:val="1B3A7597"/>
    <w:rsid w:val="1B50A62A"/>
    <w:rsid w:val="1B521379"/>
    <w:rsid w:val="1B9FA5DF"/>
    <w:rsid w:val="1BB53F0E"/>
    <w:rsid w:val="1C14720E"/>
    <w:rsid w:val="1C2C4B27"/>
    <w:rsid w:val="1C74D0CD"/>
    <w:rsid w:val="1C841107"/>
    <w:rsid w:val="1C8E11B8"/>
    <w:rsid w:val="1C93433B"/>
    <w:rsid w:val="1C96E718"/>
    <w:rsid w:val="1C9EE9A1"/>
    <w:rsid w:val="1CE8389C"/>
    <w:rsid w:val="1CECD10A"/>
    <w:rsid w:val="1CFCF74C"/>
    <w:rsid w:val="1D62386D"/>
    <w:rsid w:val="1D8C6CED"/>
    <w:rsid w:val="1D9C7B32"/>
    <w:rsid w:val="1DAD4B7B"/>
    <w:rsid w:val="1DB17FA6"/>
    <w:rsid w:val="1DBB1CFB"/>
    <w:rsid w:val="1DD3096E"/>
    <w:rsid w:val="1DD91E91"/>
    <w:rsid w:val="1DF03023"/>
    <w:rsid w:val="1DF616D2"/>
    <w:rsid w:val="1DFB7D08"/>
    <w:rsid w:val="1E0BFBB1"/>
    <w:rsid w:val="1E2E9FD0"/>
    <w:rsid w:val="1E2F7A4D"/>
    <w:rsid w:val="1E8B2A17"/>
    <w:rsid w:val="1EC12D53"/>
    <w:rsid w:val="1EC2A720"/>
    <w:rsid w:val="1EC97E6C"/>
    <w:rsid w:val="1ECBB1C8"/>
    <w:rsid w:val="1EEA660F"/>
    <w:rsid w:val="1F40C41F"/>
    <w:rsid w:val="1F6959D5"/>
    <w:rsid w:val="1F9259DE"/>
    <w:rsid w:val="1FAB76EE"/>
    <w:rsid w:val="1FCEE437"/>
    <w:rsid w:val="1FD3A637"/>
    <w:rsid w:val="201922AC"/>
    <w:rsid w:val="20266CC1"/>
    <w:rsid w:val="20767578"/>
    <w:rsid w:val="210A00BB"/>
    <w:rsid w:val="215AFC12"/>
    <w:rsid w:val="216AF0E0"/>
    <w:rsid w:val="21B537B7"/>
    <w:rsid w:val="21E1BC82"/>
    <w:rsid w:val="21E44F35"/>
    <w:rsid w:val="21E768CE"/>
    <w:rsid w:val="220CB1FA"/>
    <w:rsid w:val="2224B315"/>
    <w:rsid w:val="22258481"/>
    <w:rsid w:val="223D08DB"/>
    <w:rsid w:val="226D5A92"/>
    <w:rsid w:val="228DDA87"/>
    <w:rsid w:val="2290C2B1"/>
    <w:rsid w:val="22CC457A"/>
    <w:rsid w:val="22D5296E"/>
    <w:rsid w:val="22DB692A"/>
    <w:rsid w:val="22F21ABF"/>
    <w:rsid w:val="22FC8AAC"/>
    <w:rsid w:val="22FF5525"/>
    <w:rsid w:val="231E3B45"/>
    <w:rsid w:val="233D007A"/>
    <w:rsid w:val="233DB560"/>
    <w:rsid w:val="234F2248"/>
    <w:rsid w:val="235F26CA"/>
    <w:rsid w:val="23785AEC"/>
    <w:rsid w:val="244522FE"/>
    <w:rsid w:val="24C9B1C6"/>
    <w:rsid w:val="24CA3417"/>
    <w:rsid w:val="24E0C9C1"/>
    <w:rsid w:val="24F37D7A"/>
    <w:rsid w:val="25007FE5"/>
    <w:rsid w:val="25131605"/>
    <w:rsid w:val="2515DE6B"/>
    <w:rsid w:val="25410E11"/>
    <w:rsid w:val="2547CB31"/>
    <w:rsid w:val="254CA2D8"/>
    <w:rsid w:val="256E7DFC"/>
    <w:rsid w:val="25704589"/>
    <w:rsid w:val="25860044"/>
    <w:rsid w:val="258CB8B6"/>
    <w:rsid w:val="25C084BE"/>
    <w:rsid w:val="2656CEF1"/>
    <w:rsid w:val="268775AD"/>
    <w:rsid w:val="268BA189"/>
    <w:rsid w:val="26A9E469"/>
    <w:rsid w:val="26B136D8"/>
    <w:rsid w:val="26DA56C9"/>
    <w:rsid w:val="26F6E2C2"/>
    <w:rsid w:val="272DF8D9"/>
    <w:rsid w:val="275C551F"/>
    <w:rsid w:val="277FE763"/>
    <w:rsid w:val="282C9C64"/>
    <w:rsid w:val="282D6961"/>
    <w:rsid w:val="28493866"/>
    <w:rsid w:val="285AAB01"/>
    <w:rsid w:val="287FD055"/>
    <w:rsid w:val="289D3DDE"/>
    <w:rsid w:val="28A5CF8B"/>
    <w:rsid w:val="28C539AB"/>
    <w:rsid w:val="28EEB456"/>
    <w:rsid w:val="28FAEE26"/>
    <w:rsid w:val="2941146B"/>
    <w:rsid w:val="2962FA4E"/>
    <w:rsid w:val="29814C12"/>
    <w:rsid w:val="298899DF"/>
    <w:rsid w:val="29AC4DA4"/>
    <w:rsid w:val="29C0B24C"/>
    <w:rsid w:val="29C262B6"/>
    <w:rsid w:val="29D72EB6"/>
    <w:rsid w:val="29E7483C"/>
    <w:rsid w:val="2A117EFC"/>
    <w:rsid w:val="2A2A8E4F"/>
    <w:rsid w:val="2A54909A"/>
    <w:rsid w:val="2A97E06B"/>
    <w:rsid w:val="2A9C97DB"/>
    <w:rsid w:val="2AA5A056"/>
    <w:rsid w:val="2AC7BC3C"/>
    <w:rsid w:val="2AD5CBE5"/>
    <w:rsid w:val="2AE0915A"/>
    <w:rsid w:val="2AFB8443"/>
    <w:rsid w:val="2AFD523F"/>
    <w:rsid w:val="2B0F4FBF"/>
    <w:rsid w:val="2B105130"/>
    <w:rsid w:val="2B48460A"/>
    <w:rsid w:val="2B5C478F"/>
    <w:rsid w:val="2B5E390F"/>
    <w:rsid w:val="2B6FEF57"/>
    <w:rsid w:val="2B889DEC"/>
    <w:rsid w:val="2BC2CC01"/>
    <w:rsid w:val="2BDB0AA0"/>
    <w:rsid w:val="2C5BEE1D"/>
    <w:rsid w:val="2C66234A"/>
    <w:rsid w:val="2C692313"/>
    <w:rsid w:val="2C9620BF"/>
    <w:rsid w:val="2C9D94DA"/>
    <w:rsid w:val="2CCCE871"/>
    <w:rsid w:val="2CD809FB"/>
    <w:rsid w:val="2CD95419"/>
    <w:rsid w:val="2D25444E"/>
    <w:rsid w:val="2D281843"/>
    <w:rsid w:val="2D37B2A1"/>
    <w:rsid w:val="2D43B726"/>
    <w:rsid w:val="2D47C38A"/>
    <w:rsid w:val="2D4C591D"/>
    <w:rsid w:val="2D60F72D"/>
    <w:rsid w:val="2D9FFECA"/>
    <w:rsid w:val="2DA542C8"/>
    <w:rsid w:val="2DDE63DB"/>
    <w:rsid w:val="2E0DE8A7"/>
    <w:rsid w:val="2E2AF8FD"/>
    <w:rsid w:val="2E3BAEB1"/>
    <w:rsid w:val="2E60B853"/>
    <w:rsid w:val="2E7F0BE8"/>
    <w:rsid w:val="2EA79019"/>
    <w:rsid w:val="2EB7FBAE"/>
    <w:rsid w:val="2ED70B4B"/>
    <w:rsid w:val="2EF75DA1"/>
    <w:rsid w:val="2F00D4A1"/>
    <w:rsid w:val="2F10D786"/>
    <w:rsid w:val="2F27B8F6"/>
    <w:rsid w:val="2F49AA2D"/>
    <w:rsid w:val="2F56C5A7"/>
    <w:rsid w:val="2FA9900E"/>
    <w:rsid w:val="2FC8BE8D"/>
    <w:rsid w:val="2FCC6D20"/>
    <w:rsid w:val="2FECC75C"/>
    <w:rsid w:val="300E62B4"/>
    <w:rsid w:val="30222691"/>
    <w:rsid w:val="3038A780"/>
    <w:rsid w:val="303D9C6E"/>
    <w:rsid w:val="304ED745"/>
    <w:rsid w:val="305098C7"/>
    <w:rsid w:val="305827AE"/>
    <w:rsid w:val="30583105"/>
    <w:rsid w:val="30809769"/>
    <w:rsid w:val="308DD9D2"/>
    <w:rsid w:val="30E60983"/>
    <w:rsid w:val="31160D8A"/>
    <w:rsid w:val="3148AED5"/>
    <w:rsid w:val="31514B4D"/>
    <w:rsid w:val="31C3E2A7"/>
    <w:rsid w:val="3214A8BB"/>
    <w:rsid w:val="323BFA4D"/>
    <w:rsid w:val="328FA3CE"/>
    <w:rsid w:val="32AA18DB"/>
    <w:rsid w:val="32CA28EA"/>
    <w:rsid w:val="32CED04C"/>
    <w:rsid w:val="32E34D03"/>
    <w:rsid w:val="32E54DCC"/>
    <w:rsid w:val="32EBA33F"/>
    <w:rsid w:val="32F0FDEF"/>
    <w:rsid w:val="3313B309"/>
    <w:rsid w:val="3346A07D"/>
    <w:rsid w:val="3352BF9F"/>
    <w:rsid w:val="336197B5"/>
    <w:rsid w:val="336A5281"/>
    <w:rsid w:val="337C452A"/>
    <w:rsid w:val="33B0ED46"/>
    <w:rsid w:val="33B793F0"/>
    <w:rsid w:val="34046626"/>
    <w:rsid w:val="3439AFFD"/>
    <w:rsid w:val="344CD0EE"/>
    <w:rsid w:val="345B0AED"/>
    <w:rsid w:val="34ABCB92"/>
    <w:rsid w:val="34E0E0F8"/>
    <w:rsid w:val="34E7FAFD"/>
    <w:rsid w:val="35209C7D"/>
    <w:rsid w:val="3536DD6A"/>
    <w:rsid w:val="353FA2A7"/>
    <w:rsid w:val="3555C2F7"/>
    <w:rsid w:val="356C043C"/>
    <w:rsid w:val="3580DC03"/>
    <w:rsid w:val="35A8802E"/>
    <w:rsid w:val="35C0E648"/>
    <w:rsid w:val="35DF11D6"/>
    <w:rsid w:val="35E258FD"/>
    <w:rsid w:val="36060A09"/>
    <w:rsid w:val="361FACB2"/>
    <w:rsid w:val="36469693"/>
    <w:rsid w:val="365037E4"/>
    <w:rsid w:val="36838C78"/>
    <w:rsid w:val="36A2FFA1"/>
    <w:rsid w:val="36CA6B7B"/>
    <w:rsid w:val="36EA9FEF"/>
    <w:rsid w:val="36F69356"/>
    <w:rsid w:val="372F99DB"/>
    <w:rsid w:val="37355E90"/>
    <w:rsid w:val="37421CF2"/>
    <w:rsid w:val="377F3CDF"/>
    <w:rsid w:val="37833980"/>
    <w:rsid w:val="37B8BEEF"/>
    <w:rsid w:val="37C2ACEA"/>
    <w:rsid w:val="37D33485"/>
    <w:rsid w:val="37E57323"/>
    <w:rsid w:val="37E5F186"/>
    <w:rsid w:val="385075FB"/>
    <w:rsid w:val="387D1AE4"/>
    <w:rsid w:val="38B91D48"/>
    <w:rsid w:val="38D3C842"/>
    <w:rsid w:val="38E60C31"/>
    <w:rsid w:val="3907A75C"/>
    <w:rsid w:val="39369BA9"/>
    <w:rsid w:val="395C842E"/>
    <w:rsid w:val="395CC775"/>
    <w:rsid w:val="39D92913"/>
    <w:rsid w:val="39F7FB1E"/>
    <w:rsid w:val="39FD0DB5"/>
    <w:rsid w:val="3A14E262"/>
    <w:rsid w:val="3A24039E"/>
    <w:rsid w:val="3A72CE62"/>
    <w:rsid w:val="3A734D86"/>
    <w:rsid w:val="3A9479A8"/>
    <w:rsid w:val="3AA160D5"/>
    <w:rsid w:val="3AB5674F"/>
    <w:rsid w:val="3AD23BA5"/>
    <w:rsid w:val="3ADA2214"/>
    <w:rsid w:val="3ADC8F2A"/>
    <w:rsid w:val="3ADDBDA7"/>
    <w:rsid w:val="3AE6E8DA"/>
    <w:rsid w:val="3AE9F0B2"/>
    <w:rsid w:val="3B041801"/>
    <w:rsid w:val="3B0AEC4E"/>
    <w:rsid w:val="3B0E1F32"/>
    <w:rsid w:val="3B2256AB"/>
    <w:rsid w:val="3B66D895"/>
    <w:rsid w:val="3B6BEEE5"/>
    <w:rsid w:val="3B7DFA29"/>
    <w:rsid w:val="3B88ABD7"/>
    <w:rsid w:val="3B9E7B5A"/>
    <w:rsid w:val="3B9FD618"/>
    <w:rsid w:val="3BF8736D"/>
    <w:rsid w:val="3BFE2C64"/>
    <w:rsid w:val="3C167F48"/>
    <w:rsid w:val="3C1CF989"/>
    <w:rsid w:val="3C2D5C24"/>
    <w:rsid w:val="3C5EA1D9"/>
    <w:rsid w:val="3C6EEAB9"/>
    <w:rsid w:val="3C795D28"/>
    <w:rsid w:val="3C928585"/>
    <w:rsid w:val="3CE414B3"/>
    <w:rsid w:val="3CEC13BF"/>
    <w:rsid w:val="3CF6DEDE"/>
    <w:rsid w:val="3CFFF9A0"/>
    <w:rsid w:val="3D113D58"/>
    <w:rsid w:val="3D3372B3"/>
    <w:rsid w:val="3D41A6A9"/>
    <w:rsid w:val="3D493D58"/>
    <w:rsid w:val="3D8AE5D1"/>
    <w:rsid w:val="3DA5D1B8"/>
    <w:rsid w:val="3DB5A9D8"/>
    <w:rsid w:val="3DC18ED7"/>
    <w:rsid w:val="3DE30E3D"/>
    <w:rsid w:val="3DF2F8C8"/>
    <w:rsid w:val="3DFCA5B2"/>
    <w:rsid w:val="3E1C044C"/>
    <w:rsid w:val="3E4C84EF"/>
    <w:rsid w:val="3E60FB3B"/>
    <w:rsid w:val="3E821B41"/>
    <w:rsid w:val="3E8278E7"/>
    <w:rsid w:val="3E86CA22"/>
    <w:rsid w:val="3EB62C84"/>
    <w:rsid w:val="3EC56B8B"/>
    <w:rsid w:val="3EC76FD6"/>
    <w:rsid w:val="3EEC7918"/>
    <w:rsid w:val="3EF5B1D4"/>
    <w:rsid w:val="3F01A53B"/>
    <w:rsid w:val="3F02109D"/>
    <w:rsid w:val="3F0FCA87"/>
    <w:rsid w:val="3F12D6BF"/>
    <w:rsid w:val="3F3153D2"/>
    <w:rsid w:val="3F36AB22"/>
    <w:rsid w:val="3F4D88E6"/>
    <w:rsid w:val="3F832442"/>
    <w:rsid w:val="3F8CD26D"/>
    <w:rsid w:val="3F8EFB1A"/>
    <w:rsid w:val="3F9FDB40"/>
    <w:rsid w:val="3FAC1989"/>
    <w:rsid w:val="3FB0FDEA"/>
    <w:rsid w:val="3FE9D660"/>
    <w:rsid w:val="3FFB5277"/>
    <w:rsid w:val="400D2058"/>
    <w:rsid w:val="4023AB38"/>
    <w:rsid w:val="403AD21F"/>
    <w:rsid w:val="4079EB89"/>
    <w:rsid w:val="407A7433"/>
    <w:rsid w:val="40B71B05"/>
    <w:rsid w:val="40E79556"/>
    <w:rsid w:val="410E16A7"/>
    <w:rsid w:val="41161559"/>
    <w:rsid w:val="412964D7"/>
    <w:rsid w:val="41474820"/>
    <w:rsid w:val="41ADBBA9"/>
    <w:rsid w:val="41EADDCB"/>
    <w:rsid w:val="4205A03A"/>
    <w:rsid w:val="422D5296"/>
    <w:rsid w:val="42512969"/>
    <w:rsid w:val="4256D439"/>
    <w:rsid w:val="426E7136"/>
    <w:rsid w:val="42C10990"/>
    <w:rsid w:val="42CFEF3B"/>
    <w:rsid w:val="42DE3D7F"/>
    <w:rsid w:val="42E89EAC"/>
    <w:rsid w:val="42EFBC64"/>
    <w:rsid w:val="43403097"/>
    <w:rsid w:val="43455C37"/>
    <w:rsid w:val="434AE205"/>
    <w:rsid w:val="434E0999"/>
    <w:rsid w:val="434E67AB"/>
    <w:rsid w:val="43A02250"/>
    <w:rsid w:val="43A660CF"/>
    <w:rsid w:val="43BBEE01"/>
    <w:rsid w:val="43C7D57A"/>
    <w:rsid w:val="4417AB50"/>
    <w:rsid w:val="4483A46D"/>
    <w:rsid w:val="448D532D"/>
    <w:rsid w:val="449196D1"/>
    <w:rsid w:val="44C50424"/>
    <w:rsid w:val="45170DFD"/>
    <w:rsid w:val="45296D27"/>
    <w:rsid w:val="452C2109"/>
    <w:rsid w:val="4570E6BF"/>
    <w:rsid w:val="45806B5A"/>
    <w:rsid w:val="45DDC507"/>
    <w:rsid w:val="45E266AC"/>
    <w:rsid w:val="45E5D9ED"/>
    <w:rsid w:val="45E728ED"/>
    <w:rsid w:val="46075158"/>
    <w:rsid w:val="461BFD60"/>
    <w:rsid w:val="46203F6E"/>
    <w:rsid w:val="462D4A45"/>
    <w:rsid w:val="463EAAF7"/>
    <w:rsid w:val="46457D42"/>
    <w:rsid w:val="464E5F88"/>
    <w:rsid w:val="464EA0B3"/>
    <w:rsid w:val="4658D900"/>
    <w:rsid w:val="46669049"/>
    <w:rsid w:val="467535C5"/>
    <w:rsid w:val="4687100E"/>
    <w:rsid w:val="46A5D09A"/>
    <w:rsid w:val="46DBEF54"/>
    <w:rsid w:val="46F16F01"/>
    <w:rsid w:val="473370B1"/>
    <w:rsid w:val="475453E0"/>
    <w:rsid w:val="478B35E1"/>
    <w:rsid w:val="47B098AB"/>
    <w:rsid w:val="47F8CDB9"/>
    <w:rsid w:val="47FFC520"/>
    <w:rsid w:val="481519C4"/>
    <w:rsid w:val="4826D82E"/>
    <w:rsid w:val="4850E41D"/>
    <w:rsid w:val="486107C4"/>
    <w:rsid w:val="48A5365F"/>
    <w:rsid w:val="48B75446"/>
    <w:rsid w:val="48CC1241"/>
    <w:rsid w:val="48D12E84"/>
    <w:rsid w:val="48F834C3"/>
    <w:rsid w:val="494512FE"/>
    <w:rsid w:val="4956FA3C"/>
    <w:rsid w:val="498698E6"/>
    <w:rsid w:val="49992677"/>
    <w:rsid w:val="499F805F"/>
    <w:rsid w:val="49A4E9C8"/>
    <w:rsid w:val="49E2E541"/>
    <w:rsid w:val="4A1A9C96"/>
    <w:rsid w:val="4A3CD03F"/>
    <w:rsid w:val="4A9E5AC9"/>
    <w:rsid w:val="4AB8024B"/>
    <w:rsid w:val="4ADB0120"/>
    <w:rsid w:val="4AEFEF25"/>
    <w:rsid w:val="4AF366A2"/>
    <w:rsid w:val="4AF4DB3B"/>
    <w:rsid w:val="4B19B1B7"/>
    <w:rsid w:val="4B269DF2"/>
    <w:rsid w:val="4B5996F7"/>
    <w:rsid w:val="4B5E131C"/>
    <w:rsid w:val="4B625CC5"/>
    <w:rsid w:val="4B7817BE"/>
    <w:rsid w:val="4B940647"/>
    <w:rsid w:val="4BD47506"/>
    <w:rsid w:val="4BE02843"/>
    <w:rsid w:val="4C3F471B"/>
    <w:rsid w:val="4C558477"/>
    <w:rsid w:val="4C7485C5"/>
    <w:rsid w:val="4C7D90B4"/>
    <w:rsid w:val="4C847265"/>
    <w:rsid w:val="4C9D8053"/>
    <w:rsid w:val="4CC1A368"/>
    <w:rsid w:val="4CC4C284"/>
    <w:rsid w:val="4CDC5FE2"/>
    <w:rsid w:val="4CF9B6FC"/>
    <w:rsid w:val="4D238F62"/>
    <w:rsid w:val="4D2F3B97"/>
    <w:rsid w:val="4D3448A6"/>
    <w:rsid w:val="4D39F630"/>
    <w:rsid w:val="4D615A1C"/>
    <w:rsid w:val="4D6F16B3"/>
    <w:rsid w:val="4D7CEE72"/>
    <w:rsid w:val="4D8B7527"/>
    <w:rsid w:val="4DAB6D96"/>
    <w:rsid w:val="4DB2D41A"/>
    <w:rsid w:val="4DCA80F7"/>
    <w:rsid w:val="4DCF6FC6"/>
    <w:rsid w:val="4DE1E422"/>
    <w:rsid w:val="4E398EE9"/>
    <w:rsid w:val="4E492C2F"/>
    <w:rsid w:val="4E545442"/>
    <w:rsid w:val="4E5E68B1"/>
    <w:rsid w:val="4E6E456C"/>
    <w:rsid w:val="4E8ED5AE"/>
    <w:rsid w:val="4E97B677"/>
    <w:rsid w:val="4EB510D4"/>
    <w:rsid w:val="4EE1B2D0"/>
    <w:rsid w:val="4EF14868"/>
    <w:rsid w:val="4F02A8AE"/>
    <w:rsid w:val="4F1A53F9"/>
    <w:rsid w:val="4F2EF200"/>
    <w:rsid w:val="4F50D305"/>
    <w:rsid w:val="4F80A1FB"/>
    <w:rsid w:val="4F8E3658"/>
    <w:rsid w:val="4F9985EF"/>
    <w:rsid w:val="5024DD34"/>
    <w:rsid w:val="503B1220"/>
    <w:rsid w:val="50657CFB"/>
    <w:rsid w:val="509C1C0A"/>
    <w:rsid w:val="50B1C607"/>
    <w:rsid w:val="50C361D5"/>
    <w:rsid w:val="50DE093E"/>
    <w:rsid w:val="50F12E6D"/>
    <w:rsid w:val="5140A9BD"/>
    <w:rsid w:val="51537821"/>
    <w:rsid w:val="5157E07A"/>
    <w:rsid w:val="516CF553"/>
    <w:rsid w:val="519417D8"/>
    <w:rsid w:val="519B9BCF"/>
    <w:rsid w:val="51BD07DF"/>
    <w:rsid w:val="51C2B5F2"/>
    <w:rsid w:val="51E743E5"/>
    <w:rsid w:val="51F4798C"/>
    <w:rsid w:val="51FE66DA"/>
    <w:rsid w:val="51FF2E50"/>
    <w:rsid w:val="52193CC3"/>
    <w:rsid w:val="52419FE0"/>
    <w:rsid w:val="52B70C16"/>
    <w:rsid w:val="52B9942C"/>
    <w:rsid w:val="52C6A5A8"/>
    <w:rsid w:val="52CBDFC2"/>
    <w:rsid w:val="52CD201A"/>
    <w:rsid w:val="52DAA47E"/>
    <w:rsid w:val="52DD509D"/>
    <w:rsid w:val="52E4B425"/>
    <w:rsid w:val="53A7023F"/>
    <w:rsid w:val="53B7E2B7"/>
    <w:rsid w:val="53EC2FF6"/>
    <w:rsid w:val="54037156"/>
    <w:rsid w:val="54107525"/>
    <w:rsid w:val="5451D16C"/>
    <w:rsid w:val="549F44C5"/>
    <w:rsid w:val="54BC53E8"/>
    <w:rsid w:val="54C528FF"/>
    <w:rsid w:val="54C9730B"/>
    <w:rsid w:val="54E04045"/>
    <w:rsid w:val="550920A6"/>
    <w:rsid w:val="555B524C"/>
    <w:rsid w:val="5575CFB2"/>
    <w:rsid w:val="55765862"/>
    <w:rsid w:val="558F3731"/>
    <w:rsid w:val="5590DA1B"/>
    <w:rsid w:val="559EB32A"/>
    <w:rsid w:val="55DD8B1B"/>
    <w:rsid w:val="55FE793B"/>
    <w:rsid w:val="560AC29B"/>
    <w:rsid w:val="562B6C25"/>
    <w:rsid w:val="567BC34A"/>
    <w:rsid w:val="5683D4E7"/>
    <w:rsid w:val="56C9D429"/>
    <w:rsid w:val="56DA44DC"/>
    <w:rsid w:val="56EC99C2"/>
    <w:rsid w:val="56F427E6"/>
    <w:rsid w:val="5715C6D5"/>
    <w:rsid w:val="571AC503"/>
    <w:rsid w:val="573325C1"/>
    <w:rsid w:val="57804642"/>
    <w:rsid w:val="5783700E"/>
    <w:rsid w:val="579150E6"/>
    <w:rsid w:val="579CF85F"/>
    <w:rsid w:val="57C38FF0"/>
    <w:rsid w:val="57D2D8AB"/>
    <w:rsid w:val="581F46C9"/>
    <w:rsid w:val="5835F446"/>
    <w:rsid w:val="583A8187"/>
    <w:rsid w:val="586863F9"/>
    <w:rsid w:val="58782F20"/>
    <w:rsid w:val="5882627E"/>
    <w:rsid w:val="5889E4CB"/>
    <w:rsid w:val="588B2E9E"/>
    <w:rsid w:val="588B53DA"/>
    <w:rsid w:val="588FF847"/>
    <w:rsid w:val="58E14D33"/>
    <w:rsid w:val="58FAD81C"/>
    <w:rsid w:val="58FD7785"/>
    <w:rsid w:val="5909B9C0"/>
    <w:rsid w:val="5917539F"/>
    <w:rsid w:val="59215553"/>
    <w:rsid w:val="593619FD"/>
    <w:rsid w:val="5939DC26"/>
    <w:rsid w:val="5969AED1"/>
    <w:rsid w:val="59CE9208"/>
    <w:rsid w:val="5A1BBA36"/>
    <w:rsid w:val="5A3D4D6E"/>
    <w:rsid w:val="5A49F79D"/>
    <w:rsid w:val="5A6A23F8"/>
    <w:rsid w:val="5A6F90A7"/>
    <w:rsid w:val="5A81AFE2"/>
    <w:rsid w:val="5A8F88FF"/>
    <w:rsid w:val="5ADA2D7A"/>
    <w:rsid w:val="5ADA626E"/>
    <w:rsid w:val="5AE5B4EB"/>
    <w:rsid w:val="5AE75630"/>
    <w:rsid w:val="5B108D6C"/>
    <w:rsid w:val="5B6A4406"/>
    <w:rsid w:val="5B8C6A24"/>
    <w:rsid w:val="5B98E60C"/>
    <w:rsid w:val="5BB4842F"/>
    <w:rsid w:val="5BB8E95B"/>
    <w:rsid w:val="5BE7B0F8"/>
    <w:rsid w:val="5BF0FFF2"/>
    <w:rsid w:val="5C4659A2"/>
    <w:rsid w:val="5C56C437"/>
    <w:rsid w:val="5C5B4CE4"/>
    <w:rsid w:val="5C74EA85"/>
    <w:rsid w:val="5C82804B"/>
    <w:rsid w:val="5C94B81D"/>
    <w:rsid w:val="5C97EC59"/>
    <w:rsid w:val="5CE3D0E2"/>
    <w:rsid w:val="5D0A4FCD"/>
    <w:rsid w:val="5D0B2E24"/>
    <w:rsid w:val="5D0DCC91"/>
    <w:rsid w:val="5D38A37F"/>
    <w:rsid w:val="5D56B336"/>
    <w:rsid w:val="5D66B283"/>
    <w:rsid w:val="5D769B53"/>
    <w:rsid w:val="5D85422E"/>
    <w:rsid w:val="5D8A7618"/>
    <w:rsid w:val="5D8B03D2"/>
    <w:rsid w:val="5D9A6BCF"/>
    <w:rsid w:val="5DACDE0B"/>
    <w:rsid w:val="5DE45905"/>
    <w:rsid w:val="5DF53040"/>
    <w:rsid w:val="5E323581"/>
    <w:rsid w:val="5E39ED39"/>
    <w:rsid w:val="5E550F96"/>
    <w:rsid w:val="5E91C7FB"/>
    <w:rsid w:val="5EA1CDCC"/>
    <w:rsid w:val="5EA1EF33"/>
    <w:rsid w:val="5EA7358F"/>
    <w:rsid w:val="5EB85D8B"/>
    <w:rsid w:val="5EBACF69"/>
    <w:rsid w:val="5F03BAC9"/>
    <w:rsid w:val="5F82970E"/>
    <w:rsid w:val="5F8DCA83"/>
    <w:rsid w:val="5F8E019F"/>
    <w:rsid w:val="5FAB3ACF"/>
    <w:rsid w:val="5FF0EB04"/>
    <w:rsid w:val="5FFB3FEE"/>
    <w:rsid w:val="6013AF2E"/>
    <w:rsid w:val="6022F2EC"/>
    <w:rsid w:val="609BE92D"/>
    <w:rsid w:val="60A658E8"/>
    <w:rsid w:val="60B42C26"/>
    <w:rsid w:val="60BB1B0F"/>
    <w:rsid w:val="60BFCD9A"/>
    <w:rsid w:val="60D479D7"/>
    <w:rsid w:val="60D89A27"/>
    <w:rsid w:val="60E00BB4"/>
    <w:rsid w:val="60EF6F80"/>
    <w:rsid w:val="61059852"/>
    <w:rsid w:val="611BED4F"/>
    <w:rsid w:val="61559895"/>
    <w:rsid w:val="6164F5A6"/>
    <w:rsid w:val="617FC147"/>
    <w:rsid w:val="61BBB066"/>
    <w:rsid w:val="61BEC34D"/>
    <w:rsid w:val="61D0BB1B"/>
    <w:rsid w:val="61D33A58"/>
    <w:rsid w:val="62039182"/>
    <w:rsid w:val="622C8D97"/>
    <w:rsid w:val="624ECAB2"/>
    <w:rsid w:val="6252982B"/>
    <w:rsid w:val="62552B2D"/>
    <w:rsid w:val="62718486"/>
    <w:rsid w:val="62CE74E2"/>
    <w:rsid w:val="62DD2003"/>
    <w:rsid w:val="62E405C8"/>
    <w:rsid w:val="62E6E8B8"/>
    <w:rsid w:val="62F0C6D0"/>
    <w:rsid w:val="62F1F147"/>
    <w:rsid w:val="63022286"/>
    <w:rsid w:val="6304B52A"/>
    <w:rsid w:val="63167DCB"/>
    <w:rsid w:val="63265EA1"/>
    <w:rsid w:val="635A93AE"/>
    <w:rsid w:val="638FD569"/>
    <w:rsid w:val="639E5183"/>
    <w:rsid w:val="63AFFBEE"/>
    <w:rsid w:val="63D810F4"/>
    <w:rsid w:val="63DB8778"/>
    <w:rsid w:val="63EE9AE2"/>
    <w:rsid w:val="63F0231B"/>
    <w:rsid w:val="64035EE4"/>
    <w:rsid w:val="64097DC9"/>
    <w:rsid w:val="642A7188"/>
    <w:rsid w:val="645A0950"/>
    <w:rsid w:val="6464EDEE"/>
    <w:rsid w:val="648F513B"/>
    <w:rsid w:val="64B8AA05"/>
    <w:rsid w:val="64BB4B12"/>
    <w:rsid w:val="64BFC4BB"/>
    <w:rsid w:val="64DD3BB2"/>
    <w:rsid w:val="64E284C7"/>
    <w:rsid w:val="64FC3955"/>
    <w:rsid w:val="6543F205"/>
    <w:rsid w:val="6546A344"/>
    <w:rsid w:val="6566D32E"/>
    <w:rsid w:val="6572A1C6"/>
    <w:rsid w:val="658A3B6F"/>
    <w:rsid w:val="65B603EA"/>
    <w:rsid w:val="65BC8177"/>
    <w:rsid w:val="65DCF071"/>
    <w:rsid w:val="65E9D9A6"/>
    <w:rsid w:val="65F23407"/>
    <w:rsid w:val="66057E2C"/>
    <w:rsid w:val="660E9898"/>
    <w:rsid w:val="6616B1B8"/>
    <w:rsid w:val="6622292E"/>
    <w:rsid w:val="6624CE53"/>
    <w:rsid w:val="6635280A"/>
    <w:rsid w:val="664339B1"/>
    <w:rsid w:val="664350AE"/>
    <w:rsid w:val="664C73E7"/>
    <w:rsid w:val="667BE142"/>
    <w:rsid w:val="66936754"/>
    <w:rsid w:val="66B14206"/>
    <w:rsid w:val="66BE19EC"/>
    <w:rsid w:val="670D94C9"/>
    <w:rsid w:val="6727C3DD"/>
    <w:rsid w:val="672F0F1E"/>
    <w:rsid w:val="673000F0"/>
    <w:rsid w:val="673EDCD3"/>
    <w:rsid w:val="675219CD"/>
    <w:rsid w:val="677C345F"/>
    <w:rsid w:val="67A0E299"/>
    <w:rsid w:val="67C3C4EF"/>
    <w:rsid w:val="67DC3EA9"/>
    <w:rsid w:val="68251058"/>
    <w:rsid w:val="684A7B68"/>
    <w:rsid w:val="68535D36"/>
    <w:rsid w:val="6859919E"/>
    <w:rsid w:val="68914F9D"/>
    <w:rsid w:val="68B119B1"/>
    <w:rsid w:val="68C3943E"/>
    <w:rsid w:val="68FEEBDC"/>
    <w:rsid w:val="69078451"/>
    <w:rsid w:val="690C85AA"/>
    <w:rsid w:val="690F16D9"/>
    <w:rsid w:val="692CA688"/>
    <w:rsid w:val="69355BEF"/>
    <w:rsid w:val="69419F96"/>
    <w:rsid w:val="6964A881"/>
    <w:rsid w:val="6975E903"/>
    <w:rsid w:val="698F24EF"/>
    <w:rsid w:val="699C9D11"/>
    <w:rsid w:val="69D1C259"/>
    <w:rsid w:val="69EA8931"/>
    <w:rsid w:val="69FC4BEC"/>
    <w:rsid w:val="6A04F354"/>
    <w:rsid w:val="6A2D1FFE"/>
    <w:rsid w:val="6A334EE5"/>
    <w:rsid w:val="6A49D9F8"/>
    <w:rsid w:val="6A670A4A"/>
    <w:rsid w:val="6A9B2EE4"/>
    <w:rsid w:val="6A9ECAE7"/>
    <w:rsid w:val="6AA8FC75"/>
    <w:rsid w:val="6B246E0A"/>
    <w:rsid w:val="6B8CB5C3"/>
    <w:rsid w:val="6BAE490B"/>
    <w:rsid w:val="6BBD0646"/>
    <w:rsid w:val="6C27F47B"/>
    <w:rsid w:val="6C3B58B7"/>
    <w:rsid w:val="6C43BC7D"/>
    <w:rsid w:val="6C4A24C8"/>
    <w:rsid w:val="6C56E309"/>
    <w:rsid w:val="6C631F37"/>
    <w:rsid w:val="6CB27B35"/>
    <w:rsid w:val="6D0719C8"/>
    <w:rsid w:val="6D13A30E"/>
    <w:rsid w:val="6D45DD95"/>
    <w:rsid w:val="6DA11A61"/>
    <w:rsid w:val="6DAE1270"/>
    <w:rsid w:val="6DBAA572"/>
    <w:rsid w:val="6DD6C77F"/>
    <w:rsid w:val="6DD7DF96"/>
    <w:rsid w:val="6DDB2E57"/>
    <w:rsid w:val="6DF086CE"/>
    <w:rsid w:val="6E3CF61B"/>
    <w:rsid w:val="6E5112BA"/>
    <w:rsid w:val="6E65AC90"/>
    <w:rsid w:val="6EE61C4E"/>
    <w:rsid w:val="6EFDD87F"/>
    <w:rsid w:val="6F01D542"/>
    <w:rsid w:val="6F192F82"/>
    <w:rsid w:val="6F2047C8"/>
    <w:rsid w:val="6F314D89"/>
    <w:rsid w:val="6F3AE5C7"/>
    <w:rsid w:val="6F4610BA"/>
    <w:rsid w:val="6F48C8F3"/>
    <w:rsid w:val="6F7B0C1C"/>
    <w:rsid w:val="6FA3A8F5"/>
    <w:rsid w:val="6FBE746D"/>
    <w:rsid w:val="6FC8E342"/>
    <w:rsid w:val="6FE97670"/>
    <w:rsid w:val="6FF484B6"/>
    <w:rsid w:val="70599784"/>
    <w:rsid w:val="705BD812"/>
    <w:rsid w:val="708B6DCC"/>
    <w:rsid w:val="70C5E960"/>
    <w:rsid w:val="70E73A79"/>
    <w:rsid w:val="70F13FC0"/>
    <w:rsid w:val="711E56BC"/>
    <w:rsid w:val="7141E6B5"/>
    <w:rsid w:val="71494CD6"/>
    <w:rsid w:val="714C69B3"/>
    <w:rsid w:val="716E0324"/>
    <w:rsid w:val="717D18DE"/>
    <w:rsid w:val="71A3A943"/>
    <w:rsid w:val="71A9385D"/>
    <w:rsid w:val="71E32BF6"/>
    <w:rsid w:val="71EC1323"/>
    <w:rsid w:val="71F26D6D"/>
    <w:rsid w:val="722CF822"/>
    <w:rsid w:val="724A37B3"/>
    <w:rsid w:val="724D8F27"/>
    <w:rsid w:val="7273ABC7"/>
    <w:rsid w:val="7291767F"/>
    <w:rsid w:val="72DFB08F"/>
    <w:rsid w:val="72EDE056"/>
    <w:rsid w:val="72FF1DF3"/>
    <w:rsid w:val="731AE2B9"/>
    <w:rsid w:val="733CCE4C"/>
    <w:rsid w:val="733D7F84"/>
    <w:rsid w:val="738B5119"/>
    <w:rsid w:val="738BABE7"/>
    <w:rsid w:val="73C108BB"/>
    <w:rsid w:val="73CF2177"/>
    <w:rsid w:val="73D49ADE"/>
    <w:rsid w:val="73DFF202"/>
    <w:rsid w:val="73F136E1"/>
    <w:rsid w:val="73FAC706"/>
    <w:rsid w:val="74211AD1"/>
    <w:rsid w:val="74460903"/>
    <w:rsid w:val="7455F77E"/>
    <w:rsid w:val="747E9B56"/>
    <w:rsid w:val="7489ECB5"/>
    <w:rsid w:val="74A98644"/>
    <w:rsid w:val="74AAA881"/>
    <w:rsid w:val="74C8E456"/>
    <w:rsid w:val="74D4EE14"/>
    <w:rsid w:val="74E502F0"/>
    <w:rsid w:val="74F41C73"/>
    <w:rsid w:val="751D221C"/>
    <w:rsid w:val="7526E12A"/>
    <w:rsid w:val="7535872E"/>
    <w:rsid w:val="7558B90A"/>
    <w:rsid w:val="75663345"/>
    <w:rsid w:val="7577E31B"/>
    <w:rsid w:val="757BFE89"/>
    <w:rsid w:val="75C7D17F"/>
    <w:rsid w:val="75F1C7DF"/>
    <w:rsid w:val="76084D3F"/>
    <w:rsid w:val="7636CB8F"/>
    <w:rsid w:val="764E93C5"/>
    <w:rsid w:val="766F9282"/>
    <w:rsid w:val="767732F2"/>
    <w:rsid w:val="76B70C30"/>
    <w:rsid w:val="76C61161"/>
    <w:rsid w:val="771BF219"/>
    <w:rsid w:val="7769CA73"/>
    <w:rsid w:val="777CB3E1"/>
    <w:rsid w:val="7785A10B"/>
    <w:rsid w:val="7799CC8C"/>
    <w:rsid w:val="77B89C4B"/>
    <w:rsid w:val="77CECCD9"/>
    <w:rsid w:val="77E7060A"/>
    <w:rsid w:val="77EC3ECE"/>
    <w:rsid w:val="783B284B"/>
    <w:rsid w:val="784D8816"/>
    <w:rsid w:val="78561673"/>
    <w:rsid w:val="78C193AD"/>
    <w:rsid w:val="78C253DF"/>
    <w:rsid w:val="78CC4EEC"/>
    <w:rsid w:val="78D3CAA3"/>
    <w:rsid w:val="78D58C25"/>
    <w:rsid w:val="790ED076"/>
    <w:rsid w:val="79100D35"/>
    <w:rsid w:val="79197A26"/>
    <w:rsid w:val="792968A1"/>
    <w:rsid w:val="7954AB6B"/>
    <w:rsid w:val="7983C597"/>
    <w:rsid w:val="7986E98D"/>
    <w:rsid w:val="79B4529E"/>
    <w:rsid w:val="79B74727"/>
    <w:rsid w:val="79D96395"/>
    <w:rsid w:val="7A3D8626"/>
    <w:rsid w:val="7A69EA98"/>
    <w:rsid w:val="7A8C8207"/>
    <w:rsid w:val="7ACC8879"/>
    <w:rsid w:val="7AD58615"/>
    <w:rsid w:val="7AE18835"/>
    <w:rsid w:val="7AF714C3"/>
    <w:rsid w:val="7B12AB5E"/>
    <w:rsid w:val="7B2BA3D5"/>
    <w:rsid w:val="7B36D149"/>
    <w:rsid w:val="7B5D57F5"/>
    <w:rsid w:val="7B5F492E"/>
    <w:rsid w:val="7BAA1AD3"/>
    <w:rsid w:val="7BDD82D3"/>
    <w:rsid w:val="7BFC2167"/>
    <w:rsid w:val="7C31EC14"/>
    <w:rsid w:val="7C3D5CF5"/>
    <w:rsid w:val="7C3DD2C8"/>
    <w:rsid w:val="7C53B15F"/>
    <w:rsid w:val="7C5A4789"/>
    <w:rsid w:val="7C61A3A3"/>
    <w:rsid w:val="7C667408"/>
    <w:rsid w:val="7C736B5A"/>
    <w:rsid w:val="7CB6604A"/>
    <w:rsid w:val="7CC4CAEB"/>
    <w:rsid w:val="7CD51369"/>
    <w:rsid w:val="7CD98D5C"/>
    <w:rsid w:val="7CE1FB4D"/>
    <w:rsid w:val="7CFE1830"/>
    <w:rsid w:val="7D0234C0"/>
    <w:rsid w:val="7D06118B"/>
    <w:rsid w:val="7D2D6AA1"/>
    <w:rsid w:val="7D4B2FD5"/>
    <w:rsid w:val="7D688EED"/>
    <w:rsid w:val="7D7C30CE"/>
    <w:rsid w:val="7D8DEE86"/>
    <w:rsid w:val="7DAFEAC7"/>
    <w:rsid w:val="7DD094A7"/>
    <w:rsid w:val="7DD92AD9"/>
    <w:rsid w:val="7DDF4B33"/>
    <w:rsid w:val="7DE69F1A"/>
    <w:rsid w:val="7DE9271E"/>
    <w:rsid w:val="7DF23454"/>
    <w:rsid w:val="7E0BE92F"/>
    <w:rsid w:val="7E10643C"/>
    <w:rsid w:val="7E2AFA42"/>
    <w:rsid w:val="7E2C465A"/>
    <w:rsid w:val="7E41445E"/>
    <w:rsid w:val="7E42EBDD"/>
    <w:rsid w:val="7E5DB4D2"/>
    <w:rsid w:val="7E6AF844"/>
    <w:rsid w:val="7E6D94AD"/>
    <w:rsid w:val="7E776093"/>
    <w:rsid w:val="7E8773CC"/>
    <w:rsid w:val="7E92392D"/>
    <w:rsid w:val="7F02680A"/>
    <w:rsid w:val="7F05EA84"/>
    <w:rsid w:val="7F196DEA"/>
    <w:rsid w:val="7F1D8FA1"/>
    <w:rsid w:val="7F222499"/>
    <w:rsid w:val="7F25A9F9"/>
    <w:rsid w:val="7F2F826D"/>
    <w:rsid w:val="7F35938D"/>
    <w:rsid w:val="7F5D1CD3"/>
    <w:rsid w:val="7F627660"/>
    <w:rsid w:val="7F74DC58"/>
    <w:rsid w:val="7F7F1BE8"/>
    <w:rsid w:val="7F93D9FB"/>
    <w:rsid w:val="7F940CCC"/>
    <w:rsid w:val="7FA2175A"/>
    <w:rsid w:val="7FCDFF16"/>
    <w:rsid w:val="7FCFC3DA"/>
    <w:rsid w:val="7FE13F61"/>
    <w:rsid w:val="7FF67A2B"/>
    <w:rsid w:val="7FF8C05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392D4"/>
  <w15:chartTrackingRefBased/>
  <w15:docId w15:val="{496850EF-6578-48BE-998C-ED72FD60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0657CFB"/>
    <w:rPr>
      <w:lang w:val="en-US"/>
    </w:rPr>
  </w:style>
  <w:style w:type="paragraph" w:styleId="Heading1">
    <w:name w:val="heading 1"/>
    <w:basedOn w:val="NoSpacing"/>
    <w:next w:val="NoSpacing"/>
    <w:link w:val="Heading1Char"/>
    <w:uiPriority w:val="9"/>
    <w:qFormat/>
    <w:rsid w:val="00AC3B57"/>
    <w:pPr>
      <w:numPr>
        <w:numId w:val="9"/>
      </w:numPr>
      <w:outlineLvl w:val="0"/>
    </w:pPr>
    <w:rPr>
      <w:b/>
      <w:bCs/>
      <w:sz w:val="32"/>
      <w:szCs w:val="32"/>
      <w:lang w:val="en-CA"/>
    </w:rPr>
  </w:style>
  <w:style w:type="paragraph" w:styleId="Heading2">
    <w:name w:val="heading 2"/>
    <w:basedOn w:val="Heading1"/>
    <w:next w:val="NoSpacing"/>
    <w:link w:val="Heading2Char"/>
    <w:uiPriority w:val="9"/>
    <w:unhideWhenUsed/>
    <w:qFormat/>
    <w:rsid w:val="00AC3B57"/>
    <w:pPr>
      <w:numPr>
        <w:ilvl w:val="1"/>
      </w:numPr>
      <w:outlineLvl w:val="1"/>
    </w:pPr>
    <w:rPr>
      <w:sz w:val="28"/>
      <w:szCs w:val="28"/>
    </w:rPr>
  </w:style>
  <w:style w:type="paragraph" w:styleId="Heading3">
    <w:name w:val="heading 3"/>
    <w:basedOn w:val="Heading2"/>
    <w:next w:val="NoSpacing"/>
    <w:link w:val="Heading3Char"/>
    <w:uiPriority w:val="9"/>
    <w:unhideWhenUsed/>
    <w:qFormat/>
    <w:rsid w:val="00AC3B57"/>
    <w:pPr>
      <w:numPr>
        <w:ilvl w:val="2"/>
      </w:numPr>
      <w:outlineLvl w:val="2"/>
    </w:pPr>
    <w:rPr>
      <w:sz w:val="24"/>
      <w:szCs w:val="24"/>
    </w:rPr>
  </w:style>
  <w:style w:type="paragraph" w:styleId="Heading4">
    <w:name w:val="heading 4"/>
    <w:basedOn w:val="Normal"/>
    <w:next w:val="Normal"/>
    <w:link w:val="Heading4Char"/>
    <w:uiPriority w:val="9"/>
    <w:unhideWhenUsed/>
    <w:qFormat/>
    <w:rsid w:val="50657C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0657CF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0657CFB"/>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0657CFB"/>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0657CF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0657CF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6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4288A"/>
    <w:rPr>
      <w:color w:val="0563C1" w:themeColor="hyperlink"/>
      <w:u w:val="single"/>
    </w:rPr>
  </w:style>
  <w:style w:type="paragraph" w:styleId="NoSpacing">
    <w:name w:val="No Spacing"/>
    <w:uiPriority w:val="1"/>
    <w:qFormat/>
    <w:rsid w:val="008847CF"/>
    <w:pPr>
      <w:spacing w:after="0" w:line="240" w:lineRule="auto"/>
      <w:jc w:val="both"/>
    </w:pPr>
  </w:style>
  <w:style w:type="character" w:styleId="UnresolvedMention">
    <w:name w:val="Unresolved Mention"/>
    <w:basedOn w:val="DefaultParagraphFont"/>
    <w:uiPriority w:val="99"/>
    <w:semiHidden/>
    <w:unhideWhenUsed/>
    <w:rsid w:val="00E37167"/>
    <w:rPr>
      <w:color w:val="605E5C"/>
      <w:shd w:val="clear" w:color="auto" w:fill="E1DFDD"/>
    </w:rPr>
  </w:style>
  <w:style w:type="character" w:customStyle="1" w:styleId="Heading1Char">
    <w:name w:val="Heading 1 Char"/>
    <w:basedOn w:val="DefaultParagraphFont"/>
    <w:link w:val="Heading1"/>
    <w:uiPriority w:val="9"/>
    <w:rsid w:val="00AC3B57"/>
    <w:rPr>
      <w:b/>
      <w:bCs/>
      <w:sz w:val="32"/>
      <w:szCs w:val="32"/>
      <w:lang w:val="en-CA"/>
    </w:rPr>
  </w:style>
  <w:style w:type="paragraph" w:styleId="TOCHeading">
    <w:name w:val="TOC Heading"/>
    <w:basedOn w:val="Heading1"/>
    <w:next w:val="Normal"/>
    <w:uiPriority w:val="39"/>
    <w:unhideWhenUsed/>
    <w:qFormat/>
    <w:rsid w:val="004B75D0"/>
    <w:pPr>
      <w:keepNext/>
      <w:keepLines/>
      <w:numPr>
        <w:numId w:val="0"/>
      </w:numPr>
      <w:spacing w:before="240" w:line="259" w:lineRule="auto"/>
      <w:outlineLvl w:val="9"/>
    </w:pPr>
    <w:rPr>
      <w:rFonts w:asciiTheme="majorHAnsi" w:eastAsiaTheme="majorEastAsia" w:hAnsiTheme="majorHAnsi" w:cstheme="majorBidi"/>
      <w:b w:val="0"/>
      <w:bCs w:val="0"/>
      <w:color w:val="2F5496" w:themeColor="accent1" w:themeShade="BF"/>
      <w:lang w:eastAsia="fr-CA"/>
    </w:rPr>
  </w:style>
  <w:style w:type="paragraph" w:styleId="TOC1">
    <w:name w:val="toc 1"/>
    <w:basedOn w:val="Normal"/>
    <w:next w:val="Normal"/>
    <w:uiPriority w:val="39"/>
    <w:unhideWhenUsed/>
    <w:rsid w:val="50657CFB"/>
    <w:pPr>
      <w:tabs>
        <w:tab w:val="left" w:pos="440"/>
        <w:tab w:val="right" w:leader="dot" w:pos="10070"/>
      </w:tabs>
      <w:spacing w:after="100"/>
      <w:ind w:left="426" w:hanging="426"/>
    </w:pPr>
  </w:style>
  <w:style w:type="paragraph" w:styleId="Header">
    <w:name w:val="header"/>
    <w:basedOn w:val="Normal"/>
    <w:link w:val="HeaderChar"/>
    <w:uiPriority w:val="99"/>
    <w:unhideWhenUsed/>
    <w:rsid w:val="50657CFB"/>
    <w:pPr>
      <w:tabs>
        <w:tab w:val="center" w:pos="4320"/>
        <w:tab w:val="right" w:pos="8640"/>
      </w:tabs>
      <w:spacing w:after="0"/>
    </w:pPr>
  </w:style>
  <w:style w:type="character" w:customStyle="1" w:styleId="HeaderChar">
    <w:name w:val="Header Char"/>
    <w:basedOn w:val="DefaultParagraphFont"/>
    <w:link w:val="Header"/>
    <w:uiPriority w:val="99"/>
    <w:rsid w:val="50657CFB"/>
    <w:rPr>
      <w:noProof w:val="0"/>
      <w:lang w:val="en-US"/>
    </w:rPr>
  </w:style>
  <w:style w:type="paragraph" w:styleId="Footer">
    <w:name w:val="footer"/>
    <w:basedOn w:val="Normal"/>
    <w:link w:val="FooterChar"/>
    <w:uiPriority w:val="99"/>
    <w:unhideWhenUsed/>
    <w:rsid w:val="50657CFB"/>
    <w:pPr>
      <w:tabs>
        <w:tab w:val="center" w:pos="4320"/>
        <w:tab w:val="right" w:pos="8640"/>
      </w:tabs>
      <w:spacing w:after="0"/>
    </w:pPr>
  </w:style>
  <w:style w:type="character" w:customStyle="1" w:styleId="FooterChar">
    <w:name w:val="Footer Char"/>
    <w:basedOn w:val="DefaultParagraphFont"/>
    <w:link w:val="Footer"/>
    <w:uiPriority w:val="99"/>
    <w:rsid w:val="50657CFB"/>
    <w:rPr>
      <w:noProof w:val="0"/>
      <w:lang w:val="en-US"/>
    </w:rPr>
  </w:style>
  <w:style w:type="paragraph" w:customStyle="1" w:styleId="Titre11">
    <w:name w:val="Titre 11"/>
    <w:basedOn w:val="Normal"/>
    <w:uiPriority w:val="1"/>
    <w:rsid w:val="50657CFB"/>
    <w:pPr>
      <w:numPr>
        <w:numId w:val="8"/>
      </w:numPr>
    </w:pPr>
  </w:style>
  <w:style w:type="paragraph" w:customStyle="1" w:styleId="Titre21">
    <w:name w:val="Titre 21"/>
    <w:basedOn w:val="Normal"/>
    <w:uiPriority w:val="1"/>
    <w:rsid w:val="50657CFB"/>
    <w:pPr>
      <w:numPr>
        <w:ilvl w:val="1"/>
        <w:numId w:val="8"/>
      </w:numPr>
    </w:pPr>
  </w:style>
  <w:style w:type="paragraph" w:customStyle="1" w:styleId="Titre31">
    <w:name w:val="Titre 31"/>
    <w:basedOn w:val="Normal"/>
    <w:uiPriority w:val="1"/>
    <w:rsid w:val="50657CFB"/>
    <w:pPr>
      <w:numPr>
        <w:ilvl w:val="2"/>
        <w:numId w:val="8"/>
      </w:numPr>
    </w:pPr>
  </w:style>
  <w:style w:type="paragraph" w:customStyle="1" w:styleId="Titre41">
    <w:name w:val="Titre 41"/>
    <w:basedOn w:val="Normal"/>
    <w:uiPriority w:val="1"/>
    <w:rsid w:val="50657CFB"/>
    <w:pPr>
      <w:numPr>
        <w:ilvl w:val="3"/>
        <w:numId w:val="8"/>
      </w:numPr>
    </w:pPr>
  </w:style>
  <w:style w:type="paragraph" w:customStyle="1" w:styleId="Titre51">
    <w:name w:val="Titre 51"/>
    <w:basedOn w:val="Normal"/>
    <w:uiPriority w:val="1"/>
    <w:rsid w:val="50657CFB"/>
    <w:pPr>
      <w:numPr>
        <w:ilvl w:val="4"/>
        <w:numId w:val="8"/>
      </w:numPr>
    </w:pPr>
  </w:style>
  <w:style w:type="paragraph" w:customStyle="1" w:styleId="Titre61">
    <w:name w:val="Titre 61"/>
    <w:basedOn w:val="Normal"/>
    <w:uiPriority w:val="1"/>
    <w:rsid w:val="50657CFB"/>
    <w:pPr>
      <w:numPr>
        <w:ilvl w:val="5"/>
        <w:numId w:val="8"/>
      </w:numPr>
    </w:pPr>
  </w:style>
  <w:style w:type="paragraph" w:customStyle="1" w:styleId="Titre71">
    <w:name w:val="Titre 71"/>
    <w:basedOn w:val="Normal"/>
    <w:uiPriority w:val="1"/>
    <w:rsid w:val="50657CFB"/>
    <w:pPr>
      <w:numPr>
        <w:ilvl w:val="6"/>
        <w:numId w:val="8"/>
      </w:numPr>
    </w:pPr>
  </w:style>
  <w:style w:type="paragraph" w:customStyle="1" w:styleId="Titre81">
    <w:name w:val="Titre 81"/>
    <w:basedOn w:val="Normal"/>
    <w:uiPriority w:val="1"/>
    <w:rsid w:val="50657CFB"/>
    <w:pPr>
      <w:numPr>
        <w:ilvl w:val="7"/>
        <w:numId w:val="8"/>
      </w:numPr>
    </w:pPr>
  </w:style>
  <w:style w:type="paragraph" w:customStyle="1" w:styleId="Titre91">
    <w:name w:val="Titre 91"/>
    <w:basedOn w:val="Normal"/>
    <w:uiPriority w:val="1"/>
    <w:rsid w:val="50657CFB"/>
    <w:pPr>
      <w:numPr>
        <w:ilvl w:val="8"/>
        <w:numId w:val="8"/>
      </w:numPr>
    </w:pPr>
  </w:style>
  <w:style w:type="character" w:customStyle="1" w:styleId="Heading2Char">
    <w:name w:val="Heading 2 Char"/>
    <w:basedOn w:val="DefaultParagraphFont"/>
    <w:link w:val="Heading2"/>
    <w:uiPriority w:val="9"/>
    <w:rsid w:val="00AC3B57"/>
    <w:rPr>
      <w:b/>
      <w:bCs/>
      <w:sz w:val="28"/>
      <w:szCs w:val="28"/>
      <w:lang w:val="en-CA"/>
    </w:rPr>
  </w:style>
  <w:style w:type="paragraph" w:styleId="TOC2">
    <w:name w:val="toc 2"/>
    <w:basedOn w:val="Normal"/>
    <w:next w:val="Normal"/>
    <w:uiPriority w:val="39"/>
    <w:unhideWhenUsed/>
    <w:rsid w:val="50657CFB"/>
    <w:pPr>
      <w:tabs>
        <w:tab w:val="left" w:pos="880"/>
        <w:tab w:val="right" w:leader="dot" w:pos="10070"/>
      </w:tabs>
      <w:spacing w:after="100"/>
      <w:ind w:left="220"/>
    </w:pPr>
  </w:style>
  <w:style w:type="table" w:styleId="TableGrid">
    <w:name w:val="Table Grid"/>
    <w:basedOn w:val="TableNormal"/>
    <w:uiPriority w:val="39"/>
    <w:rsid w:val="009F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50657CFB"/>
    <w:pPr>
      <w:spacing w:after="0"/>
    </w:pPr>
    <w:rPr>
      <w:sz w:val="20"/>
      <w:szCs w:val="20"/>
    </w:rPr>
  </w:style>
  <w:style w:type="character" w:customStyle="1" w:styleId="FootnoteTextChar">
    <w:name w:val="Footnote Text Char"/>
    <w:basedOn w:val="DefaultParagraphFont"/>
    <w:link w:val="FootnoteText"/>
    <w:uiPriority w:val="99"/>
    <w:semiHidden/>
    <w:rsid w:val="50657CFB"/>
    <w:rPr>
      <w:noProof w:val="0"/>
      <w:sz w:val="20"/>
      <w:szCs w:val="20"/>
      <w:lang w:val="en-US"/>
    </w:rPr>
  </w:style>
  <w:style w:type="character" w:styleId="FootnoteReference">
    <w:name w:val="footnote reference"/>
    <w:basedOn w:val="DefaultParagraphFont"/>
    <w:uiPriority w:val="99"/>
    <w:semiHidden/>
    <w:unhideWhenUsed/>
    <w:rsid w:val="004D31A8"/>
    <w:rPr>
      <w:vertAlign w:val="superscript"/>
    </w:rPr>
  </w:style>
  <w:style w:type="paragraph" w:styleId="ListParagraph">
    <w:name w:val="List Paragraph"/>
    <w:basedOn w:val="Normal"/>
    <w:uiPriority w:val="34"/>
    <w:qFormat/>
    <w:rsid w:val="50657CFB"/>
    <w:pPr>
      <w:ind w:left="720"/>
      <w:contextualSpacing/>
    </w:pPr>
  </w:style>
  <w:style w:type="paragraph" w:customStyle="1" w:styleId="Email">
    <w:name w:val="Email"/>
    <w:basedOn w:val="Normal"/>
    <w:link w:val="EmailChar"/>
    <w:uiPriority w:val="1"/>
    <w:rsid w:val="50657CFB"/>
    <w:pPr>
      <w:spacing w:after="0"/>
    </w:pPr>
    <w:rPr>
      <w:lang w:val="en-CA"/>
    </w:rPr>
  </w:style>
  <w:style w:type="character" w:customStyle="1" w:styleId="EmailChar">
    <w:name w:val="Email Char"/>
    <w:basedOn w:val="DefaultParagraphFont"/>
    <w:link w:val="Email"/>
    <w:uiPriority w:val="1"/>
    <w:rsid w:val="50657CFB"/>
    <w:rPr>
      <w:noProof w:val="0"/>
      <w:lang w:val="en-CA"/>
    </w:rPr>
  </w:style>
  <w:style w:type="character" w:styleId="FollowedHyperlink">
    <w:name w:val="FollowedHyperlink"/>
    <w:basedOn w:val="DefaultParagraphFont"/>
    <w:uiPriority w:val="99"/>
    <w:semiHidden/>
    <w:unhideWhenUsed/>
    <w:rsid w:val="002C3CDD"/>
    <w:rPr>
      <w:color w:val="954F72" w:themeColor="followedHyperlink"/>
      <w:u w:val="single"/>
    </w:rPr>
  </w:style>
  <w:style w:type="paragraph" w:styleId="NormalWeb">
    <w:name w:val="Normal (Web)"/>
    <w:basedOn w:val="Normal"/>
    <w:uiPriority w:val="99"/>
    <w:unhideWhenUsed/>
    <w:rsid w:val="50657CFB"/>
    <w:pPr>
      <w:spacing w:beforeAutospacing="1" w:afterAutospacing="1"/>
    </w:pPr>
    <w:rPr>
      <w:rFonts w:ascii="Times New Roman" w:eastAsia="Times New Roman" w:hAnsi="Times New Roman" w:cs="Times New Roman"/>
      <w:sz w:val="24"/>
      <w:szCs w:val="24"/>
      <w:lang w:eastAsia="fr-CA"/>
    </w:rPr>
  </w:style>
  <w:style w:type="paragraph" w:styleId="EndnoteText">
    <w:name w:val="endnote text"/>
    <w:basedOn w:val="Normal"/>
    <w:link w:val="EndnoteTextChar"/>
    <w:uiPriority w:val="99"/>
    <w:semiHidden/>
    <w:unhideWhenUsed/>
    <w:rsid w:val="50657CFB"/>
    <w:pPr>
      <w:spacing w:after="0"/>
    </w:pPr>
    <w:rPr>
      <w:sz w:val="20"/>
      <w:szCs w:val="20"/>
    </w:rPr>
  </w:style>
  <w:style w:type="character" w:customStyle="1" w:styleId="EndnoteTextChar">
    <w:name w:val="Endnote Text Char"/>
    <w:basedOn w:val="DefaultParagraphFont"/>
    <w:link w:val="EndnoteText"/>
    <w:uiPriority w:val="99"/>
    <w:semiHidden/>
    <w:rsid w:val="50657CFB"/>
    <w:rPr>
      <w:noProof w:val="0"/>
      <w:sz w:val="20"/>
      <w:szCs w:val="20"/>
      <w:lang w:val="en-US"/>
    </w:rPr>
  </w:style>
  <w:style w:type="character" w:styleId="EndnoteReference">
    <w:name w:val="endnote reference"/>
    <w:basedOn w:val="DefaultParagraphFont"/>
    <w:uiPriority w:val="99"/>
    <w:semiHidden/>
    <w:unhideWhenUsed/>
    <w:rsid w:val="00BD4CFA"/>
    <w:rPr>
      <w:vertAlign w:val="superscript"/>
    </w:rPr>
  </w:style>
  <w:style w:type="character" w:customStyle="1" w:styleId="Heading3Char">
    <w:name w:val="Heading 3 Char"/>
    <w:basedOn w:val="DefaultParagraphFont"/>
    <w:link w:val="Heading3"/>
    <w:uiPriority w:val="9"/>
    <w:rsid w:val="00AC3B57"/>
    <w:rPr>
      <w:b/>
      <w:bCs/>
      <w:sz w:val="24"/>
      <w:szCs w:val="24"/>
      <w:lang w:val="en-CA"/>
    </w:rPr>
  </w:style>
  <w:style w:type="paragraph" w:styleId="TOC3">
    <w:name w:val="toc 3"/>
    <w:basedOn w:val="Normal"/>
    <w:next w:val="Normal"/>
    <w:uiPriority w:val="39"/>
    <w:unhideWhenUsed/>
    <w:rsid w:val="50657CFB"/>
    <w:pPr>
      <w:spacing w:after="100"/>
      <w:ind w:left="440"/>
    </w:pPr>
  </w:style>
  <w:style w:type="paragraph" w:styleId="Revision">
    <w:name w:val="Revision"/>
    <w:hidden/>
    <w:uiPriority w:val="99"/>
    <w:semiHidden/>
    <w:rsid w:val="00BF3103"/>
    <w:pPr>
      <w:spacing w:after="0" w:line="240" w:lineRule="auto"/>
    </w:pPr>
  </w:style>
  <w:style w:type="character" w:styleId="CommentReference">
    <w:name w:val="annotation reference"/>
    <w:basedOn w:val="DefaultParagraphFont"/>
    <w:uiPriority w:val="99"/>
    <w:semiHidden/>
    <w:unhideWhenUsed/>
    <w:rsid w:val="009757AE"/>
    <w:rPr>
      <w:sz w:val="16"/>
      <w:szCs w:val="16"/>
    </w:rPr>
  </w:style>
  <w:style w:type="paragraph" w:styleId="CommentText">
    <w:name w:val="annotation text"/>
    <w:basedOn w:val="Normal"/>
    <w:link w:val="CommentTextChar"/>
    <w:uiPriority w:val="99"/>
    <w:unhideWhenUsed/>
    <w:rsid w:val="50657CFB"/>
    <w:rPr>
      <w:sz w:val="20"/>
      <w:szCs w:val="20"/>
    </w:rPr>
  </w:style>
  <w:style w:type="character" w:customStyle="1" w:styleId="CommentTextChar">
    <w:name w:val="Comment Text Char"/>
    <w:basedOn w:val="DefaultParagraphFont"/>
    <w:link w:val="CommentText"/>
    <w:uiPriority w:val="99"/>
    <w:rsid w:val="50657CFB"/>
    <w:rPr>
      <w:noProof w:val="0"/>
      <w:sz w:val="20"/>
      <w:szCs w:val="20"/>
      <w:lang w:val="en-US"/>
    </w:rPr>
  </w:style>
  <w:style w:type="paragraph" w:styleId="CommentSubject">
    <w:name w:val="annotation subject"/>
    <w:basedOn w:val="CommentText"/>
    <w:next w:val="CommentText"/>
    <w:link w:val="CommentSubjectChar"/>
    <w:uiPriority w:val="99"/>
    <w:semiHidden/>
    <w:unhideWhenUsed/>
    <w:rsid w:val="50657CFB"/>
    <w:rPr>
      <w:b/>
      <w:bCs/>
    </w:rPr>
  </w:style>
  <w:style w:type="character" w:customStyle="1" w:styleId="CommentSubjectChar">
    <w:name w:val="Comment Subject Char"/>
    <w:basedOn w:val="CommentTextChar"/>
    <w:link w:val="CommentSubject"/>
    <w:uiPriority w:val="99"/>
    <w:semiHidden/>
    <w:rsid w:val="50657CFB"/>
    <w:rPr>
      <w:b/>
      <w:bCs/>
      <w:noProof w:val="0"/>
      <w:sz w:val="20"/>
      <w:szCs w:val="20"/>
      <w:lang w:val="en-US"/>
    </w:rPr>
  </w:style>
  <w:style w:type="paragraph" w:customStyle="1" w:styleId="TableParagraph">
    <w:name w:val="Table Paragraph"/>
    <w:basedOn w:val="Normal"/>
    <w:uiPriority w:val="1"/>
    <w:qFormat/>
    <w:rsid w:val="50657CFB"/>
    <w:pPr>
      <w:widowControl w:val="0"/>
      <w:spacing w:before="1" w:after="0" w:line="221" w:lineRule="exact"/>
      <w:jc w:val="center"/>
    </w:pPr>
    <w:rPr>
      <w:rFonts w:ascii="Calibri" w:eastAsiaTheme="minorEastAsia" w:hAnsi="Calibri" w:cs="Calibri"/>
      <w:sz w:val="24"/>
      <w:szCs w:val="24"/>
      <w:lang w:eastAsia="fr-CA"/>
    </w:rPr>
  </w:style>
  <w:style w:type="paragraph" w:styleId="Title">
    <w:name w:val="Title"/>
    <w:basedOn w:val="Normal"/>
    <w:next w:val="Normal"/>
    <w:link w:val="TitleChar"/>
    <w:uiPriority w:val="10"/>
    <w:qFormat/>
    <w:rsid w:val="50657CFB"/>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0657CFB"/>
    <w:rPr>
      <w:rFonts w:eastAsiaTheme="minorEastAsia"/>
      <w:color w:val="5A5A5A"/>
    </w:rPr>
  </w:style>
  <w:style w:type="paragraph" w:styleId="Quote">
    <w:name w:val="Quote"/>
    <w:basedOn w:val="Normal"/>
    <w:next w:val="Normal"/>
    <w:link w:val="QuoteChar"/>
    <w:uiPriority w:val="29"/>
    <w:qFormat/>
    <w:rsid w:val="50657CF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0657CFB"/>
    <w:pPr>
      <w:spacing w:before="360" w:after="360"/>
      <w:ind w:left="864" w:right="864"/>
      <w:jc w:val="center"/>
    </w:pPr>
    <w:rPr>
      <w:i/>
      <w:iCs/>
      <w:color w:val="4472C4" w:themeColor="accent1"/>
    </w:rPr>
  </w:style>
  <w:style w:type="character" w:customStyle="1" w:styleId="Heading4Char">
    <w:name w:val="Heading 4 Char"/>
    <w:basedOn w:val="DefaultParagraphFont"/>
    <w:link w:val="Heading4"/>
    <w:uiPriority w:val="9"/>
    <w:rsid w:val="50657CFB"/>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50657CFB"/>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50657CFB"/>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50657CFB"/>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50657CFB"/>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50657CFB"/>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50657CFB"/>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50657CFB"/>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50657CFB"/>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50657CFB"/>
    <w:rPr>
      <w:i/>
      <w:iCs/>
      <w:noProof w:val="0"/>
      <w:color w:val="4472C4" w:themeColor="accent1"/>
      <w:lang w:val="en-US"/>
    </w:rPr>
  </w:style>
  <w:style w:type="paragraph" w:styleId="TOC4">
    <w:name w:val="toc 4"/>
    <w:basedOn w:val="Normal"/>
    <w:next w:val="Normal"/>
    <w:uiPriority w:val="39"/>
    <w:unhideWhenUsed/>
    <w:rsid w:val="50657CFB"/>
    <w:pPr>
      <w:spacing w:after="100"/>
      <w:ind w:left="660"/>
    </w:pPr>
  </w:style>
  <w:style w:type="paragraph" w:styleId="TOC5">
    <w:name w:val="toc 5"/>
    <w:basedOn w:val="Normal"/>
    <w:next w:val="Normal"/>
    <w:uiPriority w:val="39"/>
    <w:unhideWhenUsed/>
    <w:rsid w:val="50657CFB"/>
    <w:pPr>
      <w:spacing w:after="100"/>
      <w:ind w:left="880"/>
    </w:pPr>
  </w:style>
  <w:style w:type="paragraph" w:styleId="TOC6">
    <w:name w:val="toc 6"/>
    <w:basedOn w:val="Normal"/>
    <w:next w:val="Normal"/>
    <w:uiPriority w:val="39"/>
    <w:unhideWhenUsed/>
    <w:rsid w:val="50657CFB"/>
    <w:pPr>
      <w:spacing w:after="100"/>
      <w:ind w:left="1100"/>
    </w:pPr>
  </w:style>
  <w:style w:type="paragraph" w:styleId="TOC7">
    <w:name w:val="toc 7"/>
    <w:basedOn w:val="Normal"/>
    <w:next w:val="Normal"/>
    <w:uiPriority w:val="39"/>
    <w:unhideWhenUsed/>
    <w:rsid w:val="50657CFB"/>
    <w:pPr>
      <w:spacing w:after="100"/>
      <w:ind w:left="1320"/>
    </w:pPr>
  </w:style>
  <w:style w:type="paragraph" w:styleId="TOC8">
    <w:name w:val="toc 8"/>
    <w:basedOn w:val="Normal"/>
    <w:next w:val="Normal"/>
    <w:uiPriority w:val="39"/>
    <w:unhideWhenUsed/>
    <w:rsid w:val="50657CFB"/>
    <w:pPr>
      <w:spacing w:after="100"/>
      <w:ind w:left="1540"/>
    </w:pPr>
  </w:style>
  <w:style w:type="paragraph" w:styleId="TOC9">
    <w:name w:val="toc 9"/>
    <w:basedOn w:val="Normal"/>
    <w:next w:val="Normal"/>
    <w:uiPriority w:val="39"/>
    <w:unhideWhenUsed/>
    <w:rsid w:val="50657CFB"/>
    <w:pPr>
      <w:spacing w:after="100"/>
      <w:ind w:left="1760"/>
    </w:pPr>
  </w:style>
  <w:style w:type="character" w:customStyle="1" w:styleId="eop">
    <w:name w:val="eop"/>
    <w:basedOn w:val="DefaultParagraphFont"/>
    <w:rsid w:val="003647EC"/>
  </w:style>
  <w:style w:type="paragraph" w:styleId="BodyText">
    <w:name w:val="Body Text"/>
    <w:basedOn w:val="Normal"/>
    <w:link w:val="BodyTextChar"/>
    <w:uiPriority w:val="1"/>
    <w:qFormat/>
    <w:rsid w:val="007A79D8"/>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7A79D8"/>
    <w:rPr>
      <w:rFonts w:ascii="Calibri" w:eastAsia="Calibri" w:hAnsi="Calibri" w:cs="Calibri"/>
      <w:sz w:val="20"/>
      <w:szCs w:val="20"/>
      <w:lang w:val="en-US"/>
    </w:rPr>
  </w:style>
  <w:style w:type="paragraph" w:customStyle="1" w:styleId="pf0">
    <w:name w:val="pf0"/>
    <w:basedOn w:val="Normal"/>
    <w:rsid w:val="005F7D51"/>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cf01">
    <w:name w:val="cf01"/>
    <w:basedOn w:val="DefaultParagraphFont"/>
    <w:rsid w:val="005F7D51"/>
    <w:rPr>
      <w:rFonts w:ascii="Segoe UI" w:hAnsi="Segoe UI" w:cs="Segoe UI" w:hint="default"/>
    </w:rPr>
  </w:style>
  <w:style w:type="character" w:customStyle="1" w:styleId="apple-converted-space">
    <w:name w:val="apple-converted-space"/>
    <w:basedOn w:val="DefaultParagraphFont"/>
    <w:rsid w:val="00893316"/>
  </w:style>
  <w:style w:type="character" w:styleId="Emphasis">
    <w:name w:val="Emphasis"/>
    <w:basedOn w:val="DefaultParagraphFont"/>
    <w:uiPriority w:val="20"/>
    <w:qFormat/>
    <w:rsid w:val="00893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055">
      <w:bodyDiv w:val="1"/>
      <w:marLeft w:val="0"/>
      <w:marRight w:val="0"/>
      <w:marTop w:val="0"/>
      <w:marBottom w:val="0"/>
      <w:divBdr>
        <w:top w:val="none" w:sz="0" w:space="0" w:color="auto"/>
        <w:left w:val="none" w:sz="0" w:space="0" w:color="auto"/>
        <w:bottom w:val="none" w:sz="0" w:space="0" w:color="auto"/>
        <w:right w:val="none" w:sz="0" w:space="0" w:color="auto"/>
      </w:divBdr>
    </w:div>
    <w:div w:id="801734031">
      <w:bodyDiv w:val="1"/>
      <w:marLeft w:val="0"/>
      <w:marRight w:val="0"/>
      <w:marTop w:val="0"/>
      <w:marBottom w:val="0"/>
      <w:divBdr>
        <w:top w:val="none" w:sz="0" w:space="0" w:color="auto"/>
        <w:left w:val="none" w:sz="0" w:space="0" w:color="auto"/>
        <w:bottom w:val="none" w:sz="0" w:space="0" w:color="auto"/>
        <w:right w:val="none" w:sz="0" w:space="0" w:color="auto"/>
      </w:divBdr>
    </w:div>
    <w:div w:id="918635682">
      <w:bodyDiv w:val="1"/>
      <w:marLeft w:val="0"/>
      <w:marRight w:val="0"/>
      <w:marTop w:val="0"/>
      <w:marBottom w:val="0"/>
      <w:divBdr>
        <w:top w:val="none" w:sz="0" w:space="0" w:color="auto"/>
        <w:left w:val="none" w:sz="0" w:space="0" w:color="auto"/>
        <w:bottom w:val="none" w:sz="0" w:space="0" w:color="auto"/>
        <w:right w:val="none" w:sz="0" w:space="0" w:color="auto"/>
      </w:divBdr>
    </w:div>
    <w:div w:id="1210070456">
      <w:bodyDiv w:val="1"/>
      <w:marLeft w:val="0"/>
      <w:marRight w:val="0"/>
      <w:marTop w:val="0"/>
      <w:marBottom w:val="0"/>
      <w:divBdr>
        <w:top w:val="none" w:sz="0" w:space="0" w:color="auto"/>
        <w:left w:val="none" w:sz="0" w:space="0" w:color="auto"/>
        <w:bottom w:val="none" w:sz="0" w:space="0" w:color="auto"/>
        <w:right w:val="none" w:sz="0" w:space="0" w:color="auto"/>
      </w:divBdr>
    </w:div>
    <w:div w:id="1271475892">
      <w:bodyDiv w:val="1"/>
      <w:marLeft w:val="0"/>
      <w:marRight w:val="0"/>
      <w:marTop w:val="0"/>
      <w:marBottom w:val="0"/>
      <w:divBdr>
        <w:top w:val="none" w:sz="0" w:space="0" w:color="auto"/>
        <w:left w:val="none" w:sz="0" w:space="0" w:color="auto"/>
        <w:bottom w:val="none" w:sz="0" w:space="0" w:color="auto"/>
        <w:right w:val="none" w:sz="0" w:space="0" w:color="auto"/>
      </w:divBdr>
    </w:div>
    <w:div w:id="1603608021">
      <w:bodyDiv w:val="1"/>
      <w:marLeft w:val="0"/>
      <w:marRight w:val="0"/>
      <w:marTop w:val="0"/>
      <w:marBottom w:val="0"/>
      <w:divBdr>
        <w:top w:val="none" w:sz="0" w:space="0" w:color="auto"/>
        <w:left w:val="none" w:sz="0" w:space="0" w:color="auto"/>
        <w:bottom w:val="none" w:sz="0" w:space="0" w:color="auto"/>
        <w:right w:val="none" w:sz="0" w:space="0" w:color="auto"/>
      </w:divBdr>
    </w:div>
    <w:div w:id="16167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ora.plumptre@emc-mec.ca" TargetMode="External"/><Relationship Id="rId26" Type="http://schemas.openxmlformats.org/officeDocument/2006/relationships/hyperlink" Target="https://ww2.arb.ca.gov/sites/default/files/barcu/regact/2022/accii/2acciifro1962.4.pdf" TargetMode="External"/><Relationship Id="rId3" Type="http://schemas.openxmlformats.org/officeDocument/2006/relationships/customXml" Target="../customXml/item3.xml"/><Relationship Id="rId21" Type="http://schemas.openxmlformats.org/officeDocument/2006/relationships/hyperlink" Target="https://canadagazette.gc.ca/rp-pr/p1/2022/2022-12-31/html/reg1-eng.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ouise.levesque@emc-mec.ca" TargetMode="External"/><Relationship Id="rId25" Type="http://schemas.openxmlformats.org/officeDocument/2006/relationships/hyperlink" Target="https://laws-lois.justice.gc.ca/eng/regulations/SOR-2022-140/page-13.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aniel.breton@emc-mec.ca" TargetMode="External"/><Relationship Id="rId20" Type="http://schemas.openxmlformats.org/officeDocument/2006/relationships/hyperlink" Target="https://canadagazette.gc.ca/rp-pr/p1/2022/2022-12-31/html/reg1-eng.html" TargetMode="External"/><Relationship Id="rId29" Type="http://schemas.openxmlformats.org/officeDocument/2006/relationships/hyperlink" Target="https://www.legisquebec.gouv.qc.ca/en/document/cr/A-33.02,%20r.%20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aniel.breton@emc-mec.ca"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RAVD.DARV@ec.gc.ca" TargetMode="External"/><Relationship Id="rId23" Type="http://schemas.openxmlformats.org/officeDocument/2006/relationships/image" Target="media/image2.png"/><Relationship Id="rId28" Type="http://schemas.openxmlformats.org/officeDocument/2006/relationships/hyperlink" Target="https://www.legisquebec.gouv.qc.ca/en/pdf/cs/A-33.02.pdf"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mc-mec.ca/"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ehiculeetmoteur-vehicleandengineinfo@ec.gc.ca" TargetMode="External"/><Relationship Id="rId22" Type="http://schemas.openxmlformats.org/officeDocument/2006/relationships/chart" Target="charts/chart1.xml"/><Relationship Id="rId27" Type="http://schemas.openxmlformats.org/officeDocument/2006/relationships/hyperlink" Target="https://ww2.arb.ca.gov/sites/default/files/2020-07/2020_lcfs_fro_oal-approved_unofficial_06302020.pdf" TargetMode="External"/><Relationship Id="rId30" Type="http://schemas.openxmlformats.org/officeDocument/2006/relationships/hyperlink" Target="https://www.bclaws.gov.bc.ca/civix/document/id/complete/statreg/19029"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heicct.org/publication/real-world-phev-us-dec22/" TargetMode="External"/><Relationship Id="rId13" Type="http://schemas.openxmlformats.org/officeDocument/2006/relationships/hyperlink" Target="https://insideevs.com/news/651899/california-plugin-car-sales-2022q4/" TargetMode="External"/><Relationship Id="rId3" Type="http://schemas.openxmlformats.org/officeDocument/2006/relationships/hyperlink" Target="https://www.iea.org/reports/fuel-economy-in-major-car-markets" TargetMode="External"/><Relationship Id="rId7" Type="http://schemas.openxmlformats.org/officeDocument/2006/relationships/hyperlink" Target="https://www150.statcan.gc.ca/n1/pub/71-607-x/71-607-x2021019-eng.htm" TargetMode="External"/><Relationship Id="rId12" Type="http://schemas.openxmlformats.org/officeDocument/2006/relationships/hyperlink" Target="https://cdn.ihsmarkit.com/www/prot/pdf/0223/EV-Canadian-Newsletter-Q4-2022-.pdf" TargetMode="External"/><Relationship Id="rId2" Type="http://schemas.openxmlformats.org/officeDocument/2006/relationships/hyperlink" Target="https://electricautonomy.ca/2023/02/13/canada-zev-sales-q4-2022/" TargetMode="External"/><Relationship Id="rId16" Type="http://schemas.openxmlformats.org/officeDocument/2006/relationships/hyperlink" Target="https://emc-mec.ca/wp-content/uploads/EMC-MHDV-Ecosystem-Gaps-Sept2022-EN.pdf" TargetMode="External"/><Relationship Id="rId1" Type="http://schemas.openxmlformats.org/officeDocument/2006/relationships/hyperlink" Target="https://www.dunsky.com/zero-emission-vehicle-zev-availability-in-canada-dunsky-updates-its-cross-country-inventory-report-for-transport-canada/" TargetMode="External"/><Relationship Id="rId6" Type="http://schemas.openxmlformats.org/officeDocument/2006/relationships/hyperlink" Target="https://www.publicationsduquebec.gouv.qc.ca/fileadmin/gazette/pdf_encrypte/lois_reglements/2022A/105758.pdf" TargetMode="External"/><Relationship Id="rId11" Type="http://schemas.openxmlformats.org/officeDocument/2006/relationships/hyperlink" Target="https://www.ucsusa.org/sites/default/files/attach/2017/12/cv-fuel-efficiency-intransigience-full_0.pdf" TargetMode="External"/><Relationship Id="rId5" Type="http://schemas.openxmlformats.org/officeDocument/2006/relationships/hyperlink" Target="https://www2.gov.bc.ca/assets/gov/farming-natural-resources-and-industry/electricity-alternative-energy/energy-efficiency/zeva_formal_review_intentions_paper_28july2022.pdf" TargetMode="External"/><Relationship Id="rId15" Type="http://schemas.openxmlformats.org/officeDocument/2006/relationships/hyperlink" Target="https://taf.ca/canadas-electric-vehicle-sales-targets-will-reduce-air-pollution-and-provide-at-least-90-billion-in-health-benefits/" TargetMode="External"/><Relationship Id="rId10" Type="http://schemas.openxmlformats.org/officeDocument/2006/relationships/hyperlink" Target="https://theicct.org/publication/can-zev-reg-options-jun22/" TargetMode="External"/><Relationship Id="rId4" Type="http://schemas.openxmlformats.org/officeDocument/2006/relationships/hyperlink" Target="https://canada.autonews.com/manufacturing/auto-investment-canada-surging-because-evs-batteries-data-shows" TargetMode="External"/><Relationship Id="rId9" Type="http://schemas.openxmlformats.org/officeDocument/2006/relationships/hyperlink" Target="https://theicct.org/publication/can-zev-reg-options-jun22/" TargetMode="External"/><Relationship Id="rId14" Type="http://schemas.openxmlformats.org/officeDocument/2006/relationships/hyperlink" Target="https://publications.gc.ca/collections/collection_2022/sc-hc/H144-91-2022-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emcanada-my.sharepoint.com/personal/louise_levesque_emc-mec_ca/Documents/Norme%20VZE%20Qu&#233;bec/GRAPH%20EXIGENCES%202025-203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CA"/>
              <a:t>North-American</a:t>
            </a:r>
            <a:r>
              <a:rPr lang="fr-CA" baseline="0"/>
              <a:t> </a:t>
            </a:r>
            <a:r>
              <a:rPr lang="fr-CA"/>
              <a:t>Sales Targets VS</a:t>
            </a:r>
            <a:r>
              <a:rPr lang="fr-CA" baseline="0"/>
              <a:t> Canada's proposal</a:t>
            </a:r>
            <a:endParaRPr lang="fr-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tx>
            <c:strRef>
              <c:f>Sheet1!$O$7</c:f>
              <c:strCache>
                <c:ptCount val="1"/>
                <c:pt idx="0">
                  <c:v>Québec (draft) </c:v>
                </c:pt>
              </c:strCache>
            </c:strRef>
          </c:tx>
          <c:spPr>
            <a:ln w="22225" cap="rnd">
              <a:solidFill>
                <a:schemeClr val="accent1"/>
              </a:solidFill>
              <a:round/>
            </a:ln>
            <a:effectLst/>
          </c:spPr>
          <c:marker>
            <c:symbol val="circle"/>
            <c:size val="5"/>
            <c:spPr>
              <a:solidFill>
                <a:schemeClr val="accent1"/>
              </a:solidFill>
              <a:ln w="25400">
                <a:solidFill>
                  <a:schemeClr val="accent1"/>
                </a:solidFill>
              </a:ln>
              <a:effectLst/>
            </c:spPr>
          </c:marker>
          <c:xVal>
            <c:numRef>
              <c:f>Sheet1!$N$8:$N$18</c:f>
              <c:numCache>
                <c:formatCode>General</c:formatCode>
                <c:ptCount val="11"/>
                <c:pt idx="0">
                  <c:v>2025</c:v>
                </c:pt>
                <c:pt idx="1">
                  <c:v>2026</c:v>
                </c:pt>
                <c:pt idx="2">
                  <c:v>2027</c:v>
                </c:pt>
                <c:pt idx="3">
                  <c:v>2028</c:v>
                </c:pt>
                <c:pt idx="4">
                  <c:v>2029</c:v>
                </c:pt>
                <c:pt idx="5">
                  <c:v>2030</c:v>
                </c:pt>
                <c:pt idx="6">
                  <c:v>2031</c:v>
                </c:pt>
                <c:pt idx="7">
                  <c:v>2032</c:v>
                </c:pt>
                <c:pt idx="8">
                  <c:v>2033</c:v>
                </c:pt>
                <c:pt idx="9">
                  <c:v>2034</c:v>
                </c:pt>
                <c:pt idx="10">
                  <c:v>2035</c:v>
                </c:pt>
              </c:numCache>
            </c:numRef>
          </c:xVal>
          <c:yVal>
            <c:numRef>
              <c:f>Sheet1!$O$8:$O$18</c:f>
              <c:numCache>
                <c:formatCode>0%</c:formatCode>
                <c:ptCount val="11"/>
                <c:pt idx="0">
                  <c:v>0.22</c:v>
                </c:pt>
                <c:pt idx="1">
                  <c:v>0.26</c:v>
                </c:pt>
                <c:pt idx="2">
                  <c:v>0.34</c:v>
                </c:pt>
                <c:pt idx="3">
                  <c:v>0.43</c:v>
                </c:pt>
                <c:pt idx="4">
                  <c:v>0.53</c:v>
                </c:pt>
                <c:pt idx="5">
                  <c:v>0.65</c:v>
                </c:pt>
                <c:pt idx="6">
                  <c:v>0.77500000000000002</c:v>
                </c:pt>
                <c:pt idx="7">
                  <c:v>0.875</c:v>
                </c:pt>
                <c:pt idx="8">
                  <c:v>0.94</c:v>
                </c:pt>
                <c:pt idx="9">
                  <c:v>0.98499999999999999</c:v>
                </c:pt>
                <c:pt idx="10">
                  <c:v>1</c:v>
                </c:pt>
              </c:numCache>
            </c:numRef>
          </c:yVal>
          <c:smooth val="0"/>
          <c:extLst>
            <c:ext xmlns:c16="http://schemas.microsoft.com/office/drawing/2014/chart" uri="{C3380CC4-5D6E-409C-BE32-E72D297353CC}">
              <c16:uniqueId val="{00000000-944F-4A49-95C0-0F7B3F50B8DD}"/>
            </c:ext>
          </c:extLst>
        </c:ser>
        <c:ser>
          <c:idx val="1"/>
          <c:order val="1"/>
          <c:tx>
            <c:strRef>
              <c:f>Sheet1!$P$7</c:f>
              <c:strCache>
                <c:ptCount val="1"/>
                <c:pt idx="0">
                  <c:v>British-Columbia</c:v>
                </c:pt>
              </c:strCache>
            </c:strRef>
          </c:tx>
          <c:spPr>
            <a:ln w="22225" cap="rnd">
              <a:solidFill>
                <a:srgbClr val="92D050"/>
              </a:solidFill>
              <a:round/>
            </a:ln>
            <a:effectLst/>
          </c:spPr>
          <c:marker>
            <c:symbol val="circle"/>
            <c:size val="5"/>
            <c:spPr>
              <a:solidFill>
                <a:schemeClr val="accent6"/>
              </a:solidFill>
              <a:ln w="25400">
                <a:solidFill>
                  <a:schemeClr val="accent6"/>
                </a:solidFill>
              </a:ln>
              <a:effectLst/>
            </c:spPr>
          </c:marker>
          <c:xVal>
            <c:numRef>
              <c:f>Sheet1!$N$8:$N$18</c:f>
              <c:numCache>
                <c:formatCode>General</c:formatCode>
                <c:ptCount val="11"/>
                <c:pt idx="0">
                  <c:v>2025</c:v>
                </c:pt>
                <c:pt idx="1">
                  <c:v>2026</c:v>
                </c:pt>
                <c:pt idx="2">
                  <c:v>2027</c:v>
                </c:pt>
                <c:pt idx="3">
                  <c:v>2028</c:v>
                </c:pt>
                <c:pt idx="4">
                  <c:v>2029</c:v>
                </c:pt>
                <c:pt idx="5">
                  <c:v>2030</c:v>
                </c:pt>
                <c:pt idx="6">
                  <c:v>2031</c:v>
                </c:pt>
                <c:pt idx="7">
                  <c:v>2032</c:v>
                </c:pt>
                <c:pt idx="8">
                  <c:v>2033</c:v>
                </c:pt>
                <c:pt idx="9">
                  <c:v>2034</c:v>
                </c:pt>
                <c:pt idx="10">
                  <c:v>2035</c:v>
                </c:pt>
              </c:numCache>
            </c:numRef>
          </c:xVal>
          <c:yVal>
            <c:numRef>
              <c:f>Sheet1!$P$8:$P$18</c:f>
              <c:numCache>
                <c:formatCode>0%</c:formatCode>
                <c:ptCount val="11"/>
                <c:pt idx="0">
                  <c:v>0.1</c:v>
                </c:pt>
                <c:pt idx="1">
                  <c:v>0.26300000000000001</c:v>
                </c:pt>
                <c:pt idx="2">
                  <c:v>0.42599999999999999</c:v>
                </c:pt>
                <c:pt idx="3">
                  <c:v>0.58899999999999997</c:v>
                </c:pt>
                <c:pt idx="4">
                  <c:v>0.748</c:v>
                </c:pt>
                <c:pt idx="5">
                  <c:v>0.91</c:v>
                </c:pt>
                <c:pt idx="6">
                  <c:v>0.93200000000000005</c:v>
                </c:pt>
                <c:pt idx="7">
                  <c:v>0.95199999999999996</c:v>
                </c:pt>
                <c:pt idx="8">
                  <c:v>0.97199999999999998</c:v>
                </c:pt>
                <c:pt idx="9">
                  <c:v>0.99299999999999999</c:v>
                </c:pt>
                <c:pt idx="10">
                  <c:v>1</c:v>
                </c:pt>
              </c:numCache>
            </c:numRef>
          </c:yVal>
          <c:smooth val="0"/>
          <c:extLst>
            <c:ext xmlns:c16="http://schemas.microsoft.com/office/drawing/2014/chart" uri="{C3380CC4-5D6E-409C-BE32-E72D297353CC}">
              <c16:uniqueId val="{00000001-944F-4A49-95C0-0F7B3F50B8DD}"/>
            </c:ext>
          </c:extLst>
        </c:ser>
        <c:ser>
          <c:idx val="2"/>
          <c:order val="2"/>
          <c:tx>
            <c:strRef>
              <c:f>Sheet1!$Q$7</c:f>
              <c:strCache>
                <c:ptCount val="1"/>
                <c:pt idx="0">
                  <c:v>California</c:v>
                </c:pt>
              </c:strCache>
            </c:strRef>
          </c:tx>
          <c:spPr>
            <a:ln w="22225" cap="rnd">
              <a:solidFill>
                <a:schemeClr val="accent4"/>
              </a:solidFill>
              <a:round/>
            </a:ln>
            <a:effectLst/>
          </c:spPr>
          <c:marker>
            <c:symbol val="circle"/>
            <c:size val="5"/>
            <c:spPr>
              <a:solidFill>
                <a:schemeClr val="accent4"/>
              </a:solidFill>
              <a:ln w="25400">
                <a:solidFill>
                  <a:schemeClr val="accent4"/>
                </a:solidFill>
              </a:ln>
              <a:effectLst/>
            </c:spPr>
          </c:marker>
          <c:xVal>
            <c:numRef>
              <c:f>Sheet1!$N$8:$N$18</c:f>
              <c:numCache>
                <c:formatCode>General</c:formatCode>
                <c:ptCount val="11"/>
                <c:pt idx="0">
                  <c:v>2025</c:v>
                </c:pt>
                <c:pt idx="1">
                  <c:v>2026</c:v>
                </c:pt>
                <c:pt idx="2">
                  <c:v>2027</c:v>
                </c:pt>
                <c:pt idx="3">
                  <c:v>2028</c:v>
                </c:pt>
                <c:pt idx="4">
                  <c:v>2029</c:v>
                </c:pt>
                <c:pt idx="5">
                  <c:v>2030</c:v>
                </c:pt>
                <c:pt idx="6">
                  <c:v>2031</c:v>
                </c:pt>
                <c:pt idx="7">
                  <c:v>2032</c:v>
                </c:pt>
                <c:pt idx="8">
                  <c:v>2033</c:v>
                </c:pt>
                <c:pt idx="9">
                  <c:v>2034</c:v>
                </c:pt>
                <c:pt idx="10">
                  <c:v>2035</c:v>
                </c:pt>
              </c:numCache>
            </c:numRef>
          </c:xVal>
          <c:yVal>
            <c:numRef>
              <c:f>Sheet1!$Q$8:$Q$18</c:f>
              <c:numCache>
                <c:formatCode>0%</c:formatCode>
                <c:ptCount val="11"/>
                <c:pt idx="0">
                  <c:v>0.22</c:v>
                </c:pt>
                <c:pt idx="1">
                  <c:v>0.35</c:v>
                </c:pt>
                <c:pt idx="2">
                  <c:v>0.43</c:v>
                </c:pt>
                <c:pt idx="3">
                  <c:v>0.51</c:v>
                </c:pt>
                <c:pt idx="4">
                  <c:v>0.59</c:v>
                </c:pt>
                <c:pt idx="5">
                  <c:v>0.68</c:v>
                </c:pt>
                <c:pt idx="6">
                  <c:v>0.76</c:v>
                </c:pt>
                <c:pt idx="7">
                  <c:v>0.82</c:v>
                </c:pt>
                <c:pt idx="8">
                  <c:v>0.88</c:v>
                </c:pt>
                <c:pt idx="9">
                  <c:v>0.94</c:v>
                </c:pt>
                <c:pt idx="10">
                  <c:v>1</c:v>
                </c:pt>
              </c:numCache>
            </c:numRef>
          </c:yVal>
          <c:smooth val="0"/>
          <c:extLst>
            <c:ext xmlns:c16="http://schemas.microsoft.com/office/drawing/2014/chart" uri="{C3380CC4-5D6E-409C-BE32-E72D297353CC}">
              <c16:uniqueId val="{00000002-944F-4A49-95C0-0F7B3F50B8DD}"/>
            </c:ext>
          </c:extLst>
        </c:ser>
        <c:ser>
          <c:idx val="4"/>
          <c:order val="3"/>
          <c:tx>
            <c:strRef>
              <c:f>Sheet1!$R$7</c:f>
              <c:strCache>
                <c:ptCount val="1"/>
                <c:pt idx="0">
                  <c:v>Canada (draft)</c:v>
                </c:pt>
              </c:strCache>
            </c:strRef>
          </c:tx>
          <c:spPr>
            <a:ln w="19050" cap="rnd">
              <a:solidFill>
                <a:srgbClr val="C00000"/>
              </a:solidFill>
              <a:round/>
            </a:ln>
            <a:effectLst/>
          </c:spPr>
          <c:marker>
            <c:symbol val="circle"/>
            <c:size val="5"/>
            <c:spPr>
              <a:solidFill>
                <a:srgbClr val="C00000"/>
              </a:solidFill>
              <a:ln w="25400">
                <a:solidFill>
                  <a:srgbClr val="C00000"/>
                </a:solidFill>
              </a:ln>
              <a:effectLst/>
            </c:spPr>
          </c:marker>
          <c:xVal>
            <c:numRef>
              <c:f>Sheet1!$N$8:$N$18</c:f>
              <c:numCache>
                <c:formatCode>General</c:formatCode>
                <c:ptCount val="11"/>
                <c:pt idx="0">
                  <c:v>2025</c:v>
                </c:pt>
                <c:pt idx="1">
                  <c:v>2026</c:v>
                </c:pt>
                <c:pt idx="2">
                  <c:v>2027</c:v>
                </c:pt>
                <c:pt idx="3">
                  <c:v>2028</c:v>
                </c:pt>
                <c:pt idx="4">
                  <c:v>2029</c:v>
                </c:pt>
                <c:pt idx="5">
                  <c:v>2030</c:v>
                </c:pt>
                <c:pt idx="6">
                  <c:v>2031</c:v>
                </c:pt>
                <c:pt idx="7">
                  <c:v>2032</c:v>
                </c:pt>
                <c:pt idx="8">
                  <c:v>2033</c:v>
                </c:pt>
                <c:pt idx="9">
                  <c:v>2034</c:v>
                </c:pt>
                <c:pt idx="10">
                  <c:v>2035</c:v>
                </c:pt>
              </c:numCache>
            </c:numRef>
          </c:xVal>
          <c:yVal>
            <c:numRef>
              <c:f>Sheet1!$R$8:$R$18</c:f>
              <c:numCache>
                <c:formatCode>0%</c:formatCode>
                <c:ptCount val="11"/>
                <c:pt idx="1">
                  <c:v>0.2</c:v>
                </c:pt>
                <c:pt idx="2">
                  <c:v>0.23</c:v>
                </c:pt>
                <c:pt idx="3">
                  <c:v>0.34</c:v>
                </c:pt>
                <c:pt idx="4">
                  <c:v>0.43</c:v>
                </c:pt>
                <c:pt idx="5">
                  <c:v>0.6</c:v>
                </c:pt>
                <c:pt idx="6">
                  <c:v>0.74</c:v>
                </c:pt>
                <c:pt idx="7">
                  <c:v>0.83</c:v>
                </c:pt>
                <c:pt idx="8">
                  <c:v>0.94</c:v>
                </c:pt>
                <c:pt idx="9">
                  <c:v>0.97</c:v>
                </c:pt>
                <c:pt idx="10">
                  <c:v>1</c:v>
                </c:pt>
              </c:numCache>
            </c:numRef>
          </c:yVal>
          <c:smooth val="0"/>
          <c:extLst>
            <c:ext xmlns:c16="http://schemas.microsoft.com/office/drawing/2014/chart" uri="{C3380CC4-5D6E-409C-BE32-E72D297353CC}">
              <c16:uniqueId val="{00000003-944F-4A49-95C0-0F7B3F50B8DD}"/>
            </c:ext>
          </c:extLst>
        </c:ser>
        <c:dLbls>
          <c:showLegendKey val="0"/>
          <c:showVal val="0"/>
          <c:showCatName val="0"/>
          <c:showSerName val="0"/>
          <c:showPercent val="0"/>
          <c:showBubbleSize val="0"/>
        </c:dLbls>
        <c:axId val="490746744"/>
        <c:axId val="490744776"/>
      </c:scatterChart>
      <c:valAx>
        <c:axId val="490746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0744776"/>
        <c:crosses val="autoZero"/>
        <c:crossBetween val="midCat"/>
      </c:valAx>
      <c:valAx>
        <c:axId val="4907447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0746744"/>
        <c:crosses val="autoZero"/>
        <c:crossBetween val="midCat"/>
      </c:valAx>
      <c:spPr>
        <a:noFill/>
        <a:ln>
          <a:noFill/>
        </a:ln>
        <a:effectLst/>
      </c:spPr>
    </c:plotArea>
    <c:legend>
      <c:legendPos val="b"/>
      <c:layout>
        <c:manualLayout>
          <c:xMode val="edge"/>
          <c:yMode val="edge"/>
          <c:x val="0.19778159181327865"/>
          <c:y val="0.86702864315873573"/>
          <c:w val="0.62663816711578479"/>
          <c:h val="4.8913385826771662E-2"/>
        </c:manualLayout>
      </c:layout>
      <c:overlay val="1"/>
      <c:spPr>
        <a:solidFill>
          <a:schemeClr val="bg1"/>
        </a:solidFill>
        <a:ln w="12700" cmpd="dbl">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1afc85-5da9-4c02-a06d-9f8120296be8" xsi:nil="true"/>
    <lcf76f155ced4ddcb4097134ff3c332f xmlns="ea23fa0a-94cb-4b4a-b159-992e33fa8a0e">
      <Terms xmlns="http://schemas.microsoft.com/office/infopath/2007/PartnerControls"/>
    </lcf76f155ced4ddcb4097134ff3c332f>
    <SharedWithUsers xmlns="e41afc85-5da9-4c02-a06d-9f8120296be8">
      <UserInfo>
        <DisplayName>Mike Frisina</DisplayName>
        <AccountId>117</AccountId>
        <AccountType/>
      </UserInfo>
      <UserInfo>
        <DisplayName>Government Relations Committee Members</DisplayName>
        <AccountId>7</AccountId>
        <AccountType/>
      </UserInfo>
      <UserInfo>
        <DisplayName>Frédérique Bouchard</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AAAE4DC338064BA5D0223FBFB9F4D2" ma:contentTypeVersion="16" ma:contentTypeDescription="Create a new document." ma:contentTypeScope="" ma:versionID="780224e2a5adb57cd1bda9c4b46875bc">
  <xsd:schema xmlns:xsd="http://www.w3.org/2001/XMLSchema" xmlns:xs="http://www.w3.org/2001/XMLSchema" xmlns:p="http://schemas.microsoft.com/office/2006/metadata/properties" xmlns:ns2="ea23fa0a-94cb-4b4a-b159-992e33fa8a0e" xmlns:ns3="e41afc85-5da9-4c02-a06d-9f8120296be8" targetNamespace="http://schemas.microsoft.com/office/2006/metadata/properties" ma:root="true" ma:fieldsID="358c669e7b9759847e6ff143aefbf75d" ns2:_="" ns3:_="">
    <xsd:import namespace="ea23fa0a-94cb-4b4a-b159-992e33fa8a0e"/>
    <xsd:import namespace="e41afc85-5da9-4c02-a06d-9f8120296b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3fa0a-94cb-4b4a-b159-992e33fa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f8c184-c24e-433e-9ebb-cff9663901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afc85-5da9-4c02-a06d-9f8120296b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bc1a17-fefc-4206-859b-5693bd7dc81b}" ma:internalName="TaxCatchAll" ma:showField="CatchAllData" ma:web="e41afc85-5da9-4c02-a06d-9f8120296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50FD5-DF09-45FD-A71E-A642BC2E1A37}">
  <ds:schemaRefs>
    <ds:schemaRef ds:uri="http://schemas.microsoft.com/office/2006/metadata/properties"/>
    <ds:schemaRef ds:uri="http://schemas.microsoft.com/office/infopath/2007/PartnerControls"/>
    <ds:schemaRef ds:uri="e41afc85-5da9-4c02-a06d-9f8120296be8"/>
    <ds:schemaRef ds:uri="ea23fa0a-94cb-4b4a-b159-992e33fa8a0e"/>
  </ds:schemaRefs>
</ds:datastoreItem>
</file>

<file path=customXml/itemProps2.xml><?xml version="1.0" encoding="utf-8"?>
<ds:datastoreItem xmlns:ds="http://schemas.openxmlformats.org/officeDocument/2006/customXml" ds:itemID="{7E6FD6C6-CE27-42DD-9DBF-7F0A3C244FDD}">
  <ds:schemaRefs>
    <ds:schemaRef ds:uri="http://schemas.openxmlformats.org/officeDocument/2006/bibliography"/>
  </ds:schemaRefs>
</ds:datastoreItem>
</file>

<file path=customXml/itemProps3.xml><?xml version="1.0" encoding="utf-8"?>
<ds:datastoreItem xmlns:ds="http://schemas.openxmlformats.org/officeDocument/2006/customXml" ds:itemID="{E1ED2AB1-3FC8-4225-850C-F1DC5AFDD317}">
  <ds:schemaRefs>
    <ds:schemaRef ds:uri="http://schemas.microsoft.com/sharepoint/v3/contenttype/forms"/>
  </ds:schemaRefs>
</ds:datastoreItem>
</file>

<file path=customXml/itemProps4.xml><?xml version="1.0" encoding="utf-8"?>
<ds:datastoreItem xmlns:ds="http://schemas.openxmlformats.org/officeDocument/2006/customXml" ds:itemID="{3276B454-E89B-4121-9400-04664D0B6C2B}"/>
</file>

<file path=docProps/app.xml><?xml version="1.0" encoding="utf-8"?>
<Properties xmlns="http://schemas.openxmlformats.org/officeDocument/2006/extended-properties" xmlns:vt="http://schemas.openxmlformats.org/officeDocument/2006/docPropsVTypes">
  <Template>Normal</Template>
  <TotalTime>66</TotalTime>
  <Pages>19</Pages>
  <Words>7229</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Lévesque</dc:creator>
  <cp:keywords/>
  <dc:description/>
  <cp:lastModifiedBy>Louise Lévesque</cp:lastModifiedBy>
  <cp:revision>39</cp:revision>
  <dcterms:created xsi:type="dcterms:W3CDTF">2023-03-15T15:49:00Z</dcterms:created>
  <dcterms:modified xsi:type="dcterms:W3CDTF">2023-03-15T21:21:00Z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0x010100B5AAAE4DC338064BA5D0223FBFB9F4D2</vt:lpwstr>
  </property>
  <property fmtid="{D5CDD505-2E9C-101B-9397-08002B2CF9AE}" pid="3" name="MediaServiceImageTags">
    <vt:lpwstr/>
  </property>
</Properties>
</file>